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hint="eastAsia" w:eastAsia="宋体"/>
          <w:b/>
          <w:bCs/>
          <w:sz w:val="40"/>
          <w:szCs w:val="22"/>
          <w:lang w:eastAsia="zh-CN"/>
        </w:rPr>
      </w:pPr>
      <w:r>
        <w:rPr>
          <w:rFonts w:hint="eastAsia"/>
          <w:b/>
          <w:bCs/>
          <w:sz w:val="40"/>
          <w:szCs w:val="22"/>
          <w:lang w:eastAsia="zh-CN"/>
        </w:rPr>
        <w:t>青岛天龙石墨有限公司微粉石墨及可膨胀石墨改扩建项目（一期）</w:t>
      </w:r>
    </w:p>
    <w:p>
      <w:pPr>
        <w:spacing w:line="276" w:lineRule="auto"/>
        <w:jc w:val="center"/>
        <w:rPr>
          <w:b/>
          <w:bCs/>
          <w:sz w:val="40"/>
          <w:szCs w:val="22"/>
        </w:rPr>
      </w:pPr>
      <w:r>
        <w:rPr>
          <w:b/>
          <w:bCs/>
          <w:sz w:val="40"/>
          <w:szCs w:val="22"/>
        </w:rPr>
        <w:t>竣工环境保护验收意见</w:t>
      </w:r>
    </w:p>
    <w:p>
      <w:pPr>
        <w:spacing w:line="460" w:lineRule="exact"/>
        <w:ind w:firstLine="640" w:firstLineChars="200"/>
        <w:rPr>
          <w:sz w:val="32"/>
          <w:szCs w:val="32"/>
        </w:rPr>
      </w:pPr>
    </w:p>
    <w:p>
      <w:pPr>
        <w:spacing w:line="460" w:lineRule="exact"/>
        <w:ind w:firstLine="480" w:firstLineChars="200"/>
        <w:rPr>
          <w:sz w:val="24"/>
          <w:szCs w:val="24"/>
        </w:rPr>
      </w:pPr>
      <w:r>
        <w:rPr>
          <w:sz w:val="24"/>
          <w:szCs w:val="24"/>
        </w:rPr>
        <w:t>202</w:t>
      </w:r>
      <w:r>
        <w:rPr>
          <w:rFonts w:hint="eastAsia"/>
          <w:sz w:val="24"/>
          <w:szCs w:val="24"/>
          <w:lang w:val="en-US" w:eastAsia="zh-CN"/>
        </w:rPr>
        <w:t>1</w:t>
      </w:r>
      <w:r>
        <w:rPr>
          <w:sz w:val="24"/>
          <w:szCs w:val="24"/>
        </w:rPr>
        <w:t>年</w:t>
      </w:r>
      <w:r>
        <w:rPr>
          <w:rFonts w:hint="eastAsia"/>
          <w:sz w:val="24"/>
          <w:szCs w:val="24"/>
        </w:rPr>
        <w:t>1</w:t>
      </w:r>
      <w:r>
        <w:rPr>
          <w:sz w:val="24"/>
          <w:szCs w:val="24"/>
        </w:rPr>
        <w:t>月</w:t>
      </w:r>
      <w:r>
        <w:rPr>
          <w:rFonts w:hint="eastAsia"/>
          <w:sz w:val="24"/>
          <w:szCs w:val="24"/>
          <w:highlight w:val="none"/>
          <w:lang w:val="en-US" w:eastAsia="zh-CN"/>
        </w:rPr>
        <w:t>24</w:t>
      </w:r>
      <w:r>
        <w:rPr>
          <w:sz w:val="24"/>
          <w:szCs w:val="24"/>
        </w:rPr>
        <w:t>日，</w:t>
      </w:r>
      <w:r>
        <w:rPr>
          <w:rFonts w:hint="eastAsia"/>
          <w:sz w:val="24"/>
          <w:szCs w:val="24"/>
          <w:lang w:eastAsia="zh-CN"/>
        </w:rPr>
        <w:t>青岛天龙石墨有限公司</w:t>
      </w:r>
      <w:r>
        <w:rPr>
          <w:sz w:val="24"/>
          <w:szCs w:val="24"/>
        </w:rPr>
        <w:t>根据</w:t>
      </w:r>
      <w:r>
        <w:rPr>
          <w:rFonts w:hint="eastAsia"/>
          <w:sz w:val="24"/>
          <w:szCs w:val="24"/>
          <w:lang w:eastAsia="zh-CN"/>
        </w:rPr>
        <w:t>“微粉石墨及可膨胀石墨改扩建项目（一期）”</w:t>
      </w:r>
      <w:r>
        <w:rPr>
          <w:sz w:val="24"/>
          <w:szCs w:val="24"/>
        </w:rPr>
        <w:t>竣工环境保护验收监测报告，并对照《建设项目竣工环境保护验收暂行办法》，严格依照国家有关法律法规、建设项目竣工环境保护验收技术规范/指南、本项目环境影响报告书和审批部门审批决定等要求，对本项目进行验收，提出意见如下：</w:t>
      </w:r>
    </w:p>
    <w:p>
      <w:pPr>
        <w:spacing w:line="460" w:lineRule="exact"/>
        <w:ind w:firstLine="482" w:firstLineChars="200"/>
        <w:rPr>
          <w:b/>
          <w:sz w:val="24"/>
          <w:szCs w:val="24"/>
        </w:rPr>
      </w:pPr>
      <w:r>
        <w:rPr>
          <w:b/>
          <w:sz w:val="24"/>
          <w:szCs w:val="24"/>
        </w:rPr>
        <w:t>一、项目基本情况</w:t>
      </w:r>
    </w:p>
    <w:p>
      <w:pPr>
        <w:spacing w:line="460" w:lineRule="exact"/>
        <w:ind w:firstLine="480" w:firstLineChars="200"/>
        <w:rPr>
          <w:sz w:val="24"/>
          <w:szCs w:val="24"/>
        </w:rPr>
      </w:pPr>
      <w:r>
        <w:rPr>
          <w:sz w:val="24"/>
          <w:szCs w:val="24"/>
        </w:rPr>
        <w:t>（一）建设地点、规模、主要建设内容</w:t>
      </w:r>
    </w:p>
    <w:p>
      <w:pPr>
        <w:spacing w:line="460" w:lineRule="exact"/>
        <w:ind w:firstLine="480" w:firstLineChars="200"/>
        <w:rPr>
          <w:rFonts w:hint="eastAsia"/>
          <w:sz w:val="24"/>
          <w:szCs w:val="24"/>
          <w:lang w:eastAsia="zh-CN"/>
        </w:rPr>
      </w:pPr>
      <w:r>
        <w:rPr>
          <w:rFonts w:hint="eastAsia"/>
          <w:sz w:val="24"/>
          <w:szCs w:val="24"/>
          <w:lang w:eastAsia="zh-CN"/>
        </w:rPr>
        <w:t>青岛天龙石墨有限公司成立于2003年3月，是一家以生产微粉石墨、可膨胀石墨为主的企业，位于青岛平度市田庄镇。主要从事可膨胀石墨加工，年产可膨胀石墨600吨。</w:t>
      </w:r>
    </w:p>
    <w:p>
      <w:pPr>
        <w:spacing w:line="460" w:lineRule="exact"/>
        <w:ind w:firstLine="480" w:firstLineChars="200"/>
        <w:rPr>
          <w:rFonts w:hint="eastAsia"/>
          <w:sz w:val="24"/>
          <w:szCs w:val="24"/>
          <w:lang w:val="en-US" w:eastAsia="zh-CN"/>
        </w:rPr>
      </w:pPr>
      <w:r>
        <w:rPr>
          <w:rFonts w:hint="eastAsia"/>
          <w:sz w:val="24"/>
          <w:szCs w:val="24"/>
          <w:lang w:val="en-US" w:eastAsia="zh-CN"/>
        </w:rPr>
        <w:t>后根据市场情况，本项目一期工程总投资30万元，改扩建内容如下：</w:t>
      </w:r>
    </w:p>
    <w:p>
      <w:pPr>
        <w:spacing w:line="460" w:lineRule="exact"/>
        <w:ind w:firstLine="480" w:firstLineChars="200"/>
        <w:rPr>
          <w:rFonts w:hint="eastAsia"/>
          <w:sz w:val="24"/>
          <w:szCs w:val="24"/>
          <w:lang w:eastAsia="zh-CN"/>
        </w:rPr>
      </w:pPr>
      <w:r>
        <w:rPr>
          <w:rFonts w:hint="eastAsia"/>
          <w:sz w:val="24"/>
          <w:szCs w:val="24"/>
          <w:lang w:eastAsia="zh-CN"/>
        </w:rPr>
        <w:t>①产品产量增加：可膨胀石墨的产量增加至</w:t>
      </w:r>
      <w:r>
        <w:rPr>
          <w:rFonts w:hint="eastAsia"/>
          <w:sz w:val="24"/>
          <w:szCs w:val="24"/>
          <w:lang w:val="en-US" w:eastAsia="zh-CN"/>
        </w:rPr>
        <w:t>11</w:t>
      </w:r>
      <w:r>
        <w:rPr>
          <w:rFonts w:hint="eastAsia"/>
          <w:sz w:val="24"/>
          <w:szCs w:val="24"/>
          <w:lang w:eastAsia="zh-CN"/>
        </w:rPr>
        <w:t>00吨；增加产品微粉石墨，产量为</w:t>
      </w:r>
      <w:r>
        <w:rPr>
          <w:rFonts w:hint="eastAsia"/>
          <w:sz w:val="24"/>
          <w:szCs w:val="24"/>
          <w:lang w:val="en-US" w:eastAsia="zh-CN"/>
        </w:rPr>
        <w:t>4</w:t>
      </w:r>
      <w:r>
        <w:rPr>
          <w:rFonts w:hint="eastAsia"/>
          <w:sz w:val="24"/>
          <w:szCs w:val="24"/>
          <w:lang w:eastAsia="zh-CN"/>
        </w:rPr>
        <w:t>00吨/年。石墨产品的总产量增加至</w:t>
      </w:r>
      <w:r>
        <w:rPr>
          <w:rFonts w:hint="eastAsia"/>
          <w:sz w:val="24"/>
          <w:szCs w:val="24"/>
          <w:lang w:val="en-US" w:eastAsia="zh-CN"/>
        </w:rPr>
        <w:t>15</w:t>
      </w:r>
      <w:r>
        <w:rPr>
          <w:rFonts w:hint="eastAsia"/>
          <w:sz w:val="24"/>
          <w:szCs w:val="24"/>
          <w:lang w:eastAsia="zh-CN"/>
        </w:rPr>
        <w:t>00吨/年。</w:t>
      </w:r>
    </w:p>
    <w:p>
      <w:pPr>
        <w:spacing w:line="460" w:lineRule="exact"/>
        <w:ind w:firstLine="480" w:firstLineChars="200"/>
        <w:rPr>
          <w:rFonts w:hint="eastAsia"/>
          <w:sz w:val="24"/>
          <w:szCs w:val="24"/>
          <w:lang w:eastAsia="zh-CN"/>
        </w:rPr>
      </w:pPr>
      <w:r>
        <w:rPr>
          <w:rFonts w:hint="eastAsia"/>
          <w:sz w:val="24"/>
          <w:szCs w:val="24"/>
          <w:lang w:eastAsia="zh-CN"/>
        </w:rPr>
        <w:t>②对生产工艺进行改造：不再使用“搅拌、洗涤、脱水、筛分工艺”，生产工艺仅为烘干、磨粉和包装。</w:t>
      </w:r>
    </w:p>
    <w:p>
      <w:pPr>
        <w:spacing w:line="460" w:lineRule="exact"/>
        <w:ind w:firstLine="480" w:firstLineChars="200"/>
        <w:rPr>
          <w:rFonts w:hint="eastAsia"/>
          <w:sz w:val="24"/>
          <w:szCs w:val="24"/>
          <w:lang w:eastAsia="zh-CN"/>
        </w:rPr>
      </w:pPr>
      <w:r>
        <w:rPr>
          <w:rFonts w:hint="eastAsia"/>
          <w:sz w:val="24"/>
          <w:szCs w:val="24"/>
          <w:lang w:eastAsia="zh-CN"/>
        </w:rPr>
        <w:t>③原辅料有变化：不再使用双氧水、硫酸，仅使用微粉石墨和可膨胀石墨。</w:t>
      </w:r>
    </w:p>
    <w:p>
      <w:pPr>
        <w:spacing w:line="460" w:lineRule="exact"/>
        <w:ind w:firstLine="480" w:firstLineChars="200"/>
        <w:rPr>
          <w:rFonts w:hint="eastAsia"/>
          <w:sz w:val="24"/>
          <w:szCs w:val="24"/>
          <w:lang w:eastAsia="zh-CN"/>
        </w:rPr>
      </w:pPr>
      <w:r>
        <w:rPr>
          <w:rFonts w:hint="eastAsia"/>
          <w:sz w:val="24"/>
          <w:szCs w:val="24"/>
          <w:lang w:eastAsia="zh-CN"/>
        </w:rPr>
        <w:t>④设备有变化：原有的洗涤槽、硫酸储罐、真空罐、搅拌机、脱水机、导热油炉、烘干炕、平面筛、滚筛、加热炉、污水处理设施等拟拆除；新增</w:t>
      </w:r>
      <w:r>
        <w:rPr>
          <w:rFonts w:hint="eastAsia"/>
          <w:sz w:val="24"/>
          <w:szCs w:val="24"/>
          <w:lang w:val="en-US" w:eastAsia="zh-CN"/>
        </w:rPr>
        <w:t>1</w:t>
      </w:r>
      <w:r>
        <w:rPr>
          <w:rFonts w:hint="eastAsia"/>
          <w:sz w:val="24"/>
          <w:szCs w:val="24"/>
          <w:lang w:eastAsia="zh-CN"/>
        </w:rPr>
        <w:t>台烘干滚筒机、</w:t>
      </w:r>
      <w:r>
        <w:rPr>
          <w:rFonts w:hint="eastAsia"/>
          <w:sz w:val="24"/>
          <w:szCs w:val="24"/>
          <w:lang w:val="en-US" w:eastAsia="zh-CN"/>
        </w:rPr>
        <w:t>1</w:t>
      </w:r>
      <w:r>
        <w:rPr>
          <w:rFonts w:hint="eastAsia"/>
          <w:sz w:val="24"/>
          <w:szCs w:val="24"/>
          <w:lang w:eastAsia="zh-CN"/>
        </w:rPr>
        <w:t>台燃烧机、</w:t>
      </w:r>
      <w:r>
        <w:rPr>
          <w:rFonts w:hint="eastAsia"/>
          <w:sz w:val="24"/>
          <w:szCs w:val="24"/>
          <w:lang w:val="en-US" w:eastAsia="zh-CN"/>
        </w:rPr>
        <w:t>1</w:t>
      </w:r>
      <w:r>
        <w:rPr>
          <w:rFonts w:hint="eastAsia"/>
          <w:sz w:val="24"/>
          <w:szCs w:val="24"/>
          <w:lang w:eastAsia="zh-CN"/>
        </w:rPr>
        <w:t>台流化床微粉机、</w:t>
      </w:r>
      <w:r>
        <w:rPr>
          <w:rFonts w:hint="eastAsia"/>
          <w:sz w:val="24"/>
          <w:szCs w:val="24"/>
          <w:lang w:val="en-US" w:eastAsia="zh-CN"/>
        </w:rPr>
        <w:t>1</w:t>
      </w:r>
      <w:r>
        <w:rPr>
          <w:rFonts w:hint="eastAsia"/>
          <w:sz w:val="24"/>
          <w:szCs w:val="24"/>
          <w:lang w:eastAsia="zh-CN"/>
        </w:rPr>
        <w:t>台封包机。</w:t>
      </w:r>
    </w:p>
    <w:p>
      <w:pPr>
        <w:spacing w:line="460" w:lineRule="exact"/>
        <w:ind w:firstLine="480" w:firstLineChars="200"/>
        <w:rPr>
          <w:rFonts w:hint="eastAsia"/>
          <w:sz w:val="24"/>
          <w:szCs w:val="24"/>
          <w:lang w:eastAsia="zh-CN"/>
        </w:rPr>
      </w:pPr>
      <w:r>
        <w:rPr>
          <w:rFonts w:hint="eastAsia"/>
          <w:sz w:val="24"/>
          <w:szCs w:val="24"/>
          <w:lang w:eastAsia="zh-CN"/>
        </w:rPr>
        <w:t>项目生产用热由天然气烘干滚筒机提供。公司现有职工60人，本项目不新增员工。企业年生产天数为300天，实行一班制，每班工作时间8小时。</w:t>
      </w:r>
    </w:p>
    <w:p>
      <w:pPr>
        <w:spacing w:line="460" w:lineRule="exact"/>
        <w:ind w:firstLine="480" w:firstLineChars="200"/>
        <w:rPr>
          <w:sz w:val="24"/>
          <w:szCs w:val="24"/>
        </w:rPr>
      </w:pPr>
      <w:r>
        <w:rPr>
          <w:sz w:val="24"/>
          <w:szCs w:val="24"/>
        </w:rPr>
        <w:t>（二）建设过程及环保审批情况</w:t>
      </w:r>
    </w:p>
    <w:p>
      <w:pPr>
        <w:spacing w:line="460" w:lineRule="exact"/>
        <w:ind w:firstLine="480" w:firstLineChars="200"/>
        <w:rPr>
          <w:rFonts w:hint="eastAsia"/>
          <w:sz w:val="24"/>
          <w:szCs w:val="24"/>
        </w:rPr>
      </w:pPr>
      <w:r>
        <w:rPr>
          <w:rFonts w:hint="eastAsia"/>
          <w:sz w:val="24"/>
          <w:szCs w:val="24"/>
        </w:rPr>
        <w:t>2020年10月，受企业委托，青岛三资环境技术服务有限公司对项目进行了环境影响评价，编制完成了《青岛天龙石墨有限公司微粉石墨及可膨胀石墨改扩建项目环境影响报告表》。</w:t>
      </w:r>
    </w:p>
    <w:p>
      <w:pPr>
        <w:spacing w:line="460" w:lineRule="exact"/>
        <w:ind w:firstLine="480" w:firstLineChars="200"/>
        <w:rPr>
          <w:rFonts w:hint="eastAsia"/>
          <w:sz w:val="24"/>
          <w:szCs w:val="24"/>
        </w:rPr>
      </w:pPr>
      <w:r>
        <w:rPr>
          <w:rFonts w:hint="eastAsia"/>
          <w:sz w:val="24"/>
          <w:szCs w:val="24"/>
        </w:rPr>
        <w:t>2020年11月23日，青岛市生态环境局平度分局以平环审﹝2020﹞255号文件对项目环境影响报告表进行了批复。</w:t>
      </w:r>
    </w:p>
    <w:p>
      <w:pPr>
        <w:spacing w:line="460" w:lineRule="exact"/>
        <w:ind w:firstLine="480" w:firstLineChars="200"/>
        <w:rPr>
          <w:rFonts w:hint="eastAsia"/>
          <w:sz w:val="24"/>
          <w:szCs w:val="24"/>
        </w:rPr>
      </w:pPr>
      <w:r>
        <w:rPr>
          <w:rFonts w:hint="eastAsia"/>
          <w:sz w:val="24"/>
          <w:szCs w:val="24"/>
        </w:rPr>
        <w:t>项目于2020年11月开工建设，2020年12月建设完成。</w:t>
      </w:r>
    </w:p>
    <w:p>
      <w:pPr>
        <w:spacing w:line="460" w:lineRule="exact"/>
        <w:ind w:firstLine="480" w:firstLineChars="200"/>
        <w:rPr>
          <w:sz w:val="24"/>
          <w:szCs w:val="24"/>
        </w:rPr>
      </w:pPr>
      <w:r>
        <w:rPr>
          <w:sz w:val="24"/>
          <w:szCs w:val="24"/>
        </w:rPr>
        <w:t>（三）投资情况</w:t>
      </w:r>
    </w:p>
    <w:p>
      <w:pPr>
        <w:spacing w:line="460" w:lineRule="exact"/>
        <w:ind w:firstLine="480" w:firstLineChars="200"/>
        <w:rPr>
          <w:rFonts w:hint="eastAsia"/>
          <w:sz w:val="24"/>
          <w:szCs w:val="24"/>
        </w:rPr>
      </w:pPr>
      <w:r>
        <w:rPr>
          <w:rFonts w:hint="eastAsia"/>
          <w:sz w:val="24"/>
          <w:szCs w:val="24"/>
        </w:rPr>
        <w:t>本项目总投资</w:t>
      </w:r>
      <w:r>
        <w:rPr>
          <w:rFonts w:hint="eastAsia"/>
          <w:sz w:val="24"/>
          <w:szCs w:val="24"/>
          <w:lang w:val="en-US" w:eastAsia="zh-CN"/>
        </w:rPr>
        <w:t>30</w:t>
      </w:r>
      <w:r>
        <w:rPr>
          <w:rFonts w:hint="eastAsia"/>
          <w:sz w:val="24"/>
          <w:szCs w:val="24"/>
        </w:rPr>
        <w:t>万元，其中环保投资</w:t>
      </w:r>
      <w:r>
        <w:rPr>
          <w:rFonts w:hint="eastAsia"/>
          <w:sz w:val="24"/>
          <w:szCs w:val="24"/>
          <w:lang w:val="en-US" w:eastAsia="zh-CN"/>
        </w:rPr>
        <w:t>6</w:t>
      </w:r>
      <w:r>
        <w:rPr>
          <w:rFonts w:hint="eastAsia"/>
          <w:sz w:val="24"/>
          <w:szCs w:val="24"/>
        </w:rPr>
        <w:t>万元，环保投资占项目总投资的</w:t>
      </w:r>
      <w:r>
        <w:rPr>
          <w:rFonts w:hint="eastAsia"/>
          <w:sz w:val="24"/>
          <w:szCs w:val="24"/>
          <w:lang w:val="en-US" w:eastAsia="zh-CN"/>
        </w:rPr>
        <w:t>2</w:t>
      </w:r>
      <w:r>
        <w:rPr>
          <w:rFonts w:hint="eastAsia"/>
          <w:sz w:val="24"/>
          <w:szCs w:val="24"/>
        </w:rPr>
        <w:t>0%。</w:t>
      </w:r>
    </w:p>
    <w:p>
      <w:pPr>
        <w:spacing w:line="460" w:lineRule="exact"/>
        <w:ind w:firstLine="480" w:firstLineChars="200"/>
        <w:rPr>
          <w:sz w:val="24"/>
          <w:szCs w:val="24"/>
        </w:rPr>
      </w:pPr>
      <w:r>
        <w:rPr>
          <w:sz w:val="24"/>
          <w:szCs w:val="24"/>
        </w:rPr>
        <w:t>（四）验收范围</w:t>
      </w:r>
    </w:p>
    <w:p>
      <w:pPr>
        <w:spacing w:line="460" w:lineRule="exact"/>
        <w:ind w:firstLine="480" w:firstLineChars="200"/>
        <w:rPr>
          <w:sz w:val="24"/>
          <w:szCs w:val="24"/>
        </w:rPr>
      </w:pPr>
      <w:r>
        <w:rPr>
          <w:sz w:val="24"/>
          <w:szCs w:val="24"/>
        </w:rPr>
        <w:t>本次验收</w:t>
      </w:r>
      <w:r>
        <w:rPr>
          <w:rFonts w:hint="eastAsia"/>
          <w:sz w:val="24"/>
          <w:szCs w:val="24"/>
        </w:rPr>
        <w:t>范围为</w:t>
      </w:r>
      <w:r>
        <w:rPr>
          <w:rFonts w:hint="eastAsia"/>
          <w:sz w:val="24"/>
          <w:szCs w:val="24"/>
          <w:lang w:eastAsia="zh-CN"/>
        </w:rPr>
        <w:t>青岛天龙石墨有限公司微粉石墨及可膨胀石墨改扩建项目（一期）</w:t>
      </w:r>
      <w:r>
        <w:rPr>
          <w:rFonts w:hint="eastAsia"/>
          <w:sz w:val="24"/>
          <w:szCs w:val="24"/>
        </w:rPr>
        <w:t>工程</w:t>
      </w:r>
      <w:r>
        <w:rPr>
          <w:sz w:val="24"/>
          <w:szCs w:val="24"/>
        </w:rPr>
        <w:t>内容。</w:t>
      </w:r>
    </w:p>
    <w:p>
      <w:pPr>
        <w:spacing w:line="460" w:lineRule="exact"/>
        <w:ind w:firstLine="482" w:firstLineChars="200"/>
        <w:rPr>
          <w:b/>
          <w:sz w:val="24"/>
          <w:szCs w:val="24"/>
        </w:rPr>
      </w:pPr>
      <w:r>
        <w:rPr>
          <w:b/>
          <w:sz w:val="24"/>
          <w:szCs w:val="24"/>
        </w:rPr>
        <w:t>二、项目变动情况</w:t>
      </w:r>
    </w:p>
    <w:p>
      <w:pPr>
        <w:spacing w:line="460" w:lineRule="exact"/>
        <w:ind w:firstLine="480" w:firstLineChars="200"/>
        <w:rPr>
          <w:rFonts w:hint="eastAsia"/>
          <w:sz w:val="24"/>
          <w:szCs w:val="24"/>
          <w:lang w:eastAsia="zh-CN"/>
        </w:rPr>
      </w:pPr>
      <w:r>
        <w:rPr>
          <w:rFonts w:hint="eastAsia"/>
          <w:sz w:val="24"/>
          <w:szCs w:val="24"/>
          <w:lang w:eastAsia="zh-CN"/>
        </w:rPr>
        <w:t>根据实际建设情况与环评及批复要求变动情况详见表</w:t>
      </w:r>
      <w:r>
        <w:rPr>
          <w:rFonts w:hint="eastAsia"/>
          <w:sz w:val="24"/>
          <w:szCs w:val="24"/>
          <w:lang w:val="en-US" w:eastAsia="zh-CN"/>
        </w:rPr>
        <w:t>1</w:t>
      </w:r>
      <w:r>
        <w:rPr>
          <w:rFonts w:hint="eastAsia"/>
          <w:sz w:val="24"/>
          <w:szCs w:val="24"/>
          <w:lang w:eastAsia="zh-CN"/>
        </w:rPr>
        <w:t>。</w:t>
      </w:r>
    </w:p>
    <w:p>
      <w:pPr>
        <w:pStyle w:val="23"/>
        <w:rPr>
          <w:rFonts w:hint="default" w:ascii="Times New Roman" w:hAnsi="Times New Roman" w:eastAsia="宋体" w:cs="Times New Roman"/>
        </w:rPr>
      </w:pPr>
      <w:bookmarkStart w:id="0" w:name="_Ref496618210"/>
      <w:r>
        <w:rPr>
          <w:rFonts w:hint="default" w:ascii="Times New Roman" w:hAnsi="Times New Roman" w:eastAsia="宋体" w:cs="Times New Roman"/>
        </w:rPr>
        <w:t>表</w:t>
      </w:r>
      <w:bookmarkEnd w:id="0"/>
      <w:r>
        <w:rPr>
          <w:rFonts w:hint="default" w:ascii="Times New Roman" w:hAnsi="Times New Roman" w:eastAsia="宋体" w:cs="Times New Roman"/>
          <w:lang w:val="en-US" w:eastAsia="zh-CN"/>
        </w:rPr>
        <w:t>1</w:t>
      </w:r>
      <w:r>
        <w:rPr>
          <w:rFonts w:hint="default" w:ascii="Times New Roman" w:hAnsi="Times New Roman" w:eastAsia="宋体" w:cs="Times New Roman"/>
        </w:rPr>
        <w:t xml:space="preserve"> 建设项目变动情况及变动原因</w:t>
      </w:r>
    </w:p>
    <w:tbl>
      <w:tblPr>
        <w:tblStyle w:val="1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8"/>
        <w:gridCol w:w="1134"/>
        <w:gridCol w:w="2647"/>
        <w:gridCol w:w="2743"/>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322" w:type="pct"/>
            <w:vAlign w:val="center"/>
          </w:tcPr>
          <w:p>
            <w:pPr>
              <w:pStyle w:val="24"/>
              <w:rPr>
                <w:rFonts w:hint="default" w:ascii="Times New Roman" w:hAnsi="Times New Roman" w:eastAsia="宋体" w:cs="Times New Roman"/>
                <w:b/>
                <w:color w:val="auto"/>
              </w:rPr>
            </w:pPr>
            <w:r>
              <w:rPr>
                <w:rFonts w:hint="default" w:ascii="Times New Roman" w:hAnsi="Times New Roman" w:eastAsia="宋体" w:cs="Times New Roman"/>
                <w:b/>
                <w:color w:val="auto"/>
              </w:rPr>
              <w:t>类别</w:t>
            </w:r>
          </w:p>
        </w:tc>
        <w:tc>
          <w:tcPr>
            <w:tcW w:w="2218" w:type="pct"/>
            <w:gridSpan w:val="2"/>
            <w:vAlign w:val="center"/>
          </w:tcPr>
          <w:p>
            <w:pPr>
              <w:pStyle w:val="24"/>
              <w:rPr>
                <w:rFonts w:hint="default" w:ascii="Times New Roman" w:hAnsi="Times New Roman" w:eastAsia="宋体" w:cs="Times New Roman"/>
                <w:b/>
                <w:color w:val="auto"/>
              </w:rPr>
            </w:pPr>
            <w:r>
              <w:rPr>
                <w:rFonts w:hint="default" w:ascii="Times New Roman" w:hAnsi="Times New Roman" w:eastAsia="宋体" w:cs="Times New Roman"/>
                <w:b/>
                <w:color w:val="auto"/>
              </w:rPr>
              <w:t>环评及批复要求</w:t>
            </w:r>
          </w:p>
        </w:tc>
        <w:tc>
          <w:tcPr>
            <w:tcW w:w="1609" w:type="pct"/>
            <w:vAlign w:val="center"/>
          </w:tcPr>
          <w:p>
            <w:pPr>
              <w:pStyle w:val="24"/>
              <w:rPr>
                <w:rFonts w:hint="default" w:ascii="Times New Roman" w:hAnsi="Times New Roman" w:eastAsia="宋体" w:cs="Times New Roman"/>
                <w:b/>
                <w:color w:val="auto"/>
              </w:rPr>
            </w:pPr>
            <w:r>
              <w:rPr>
                <w:rFonts w:hint="default" w:ascii="Times New Roman" w:hAnsi="Times New Roman" w:eastAsia="宋体" w:cs="Times New Roman"/>
                <w:b/>
                <w:color w:val="auto"/>
              </w:rPr>
              <w:t>实际建设情况</w:t>
            </w:r>
          </w:p>
        </w:tc>
        <w:tc>
          <w:tcPr>
            <w:tcW w:w="850" w:type="pct"/>
            <w:vAlign w:val="center"/>
          </w:tcPr>
          <w:p>
            <w:pPr>
              <w:pStyle w:val="24"/>
              <w:rPr>
                <w:rFonts w:hint="default" w:ascii="Times New Roman" w:hAnsi="Times New Roman" w:eastAsia="宋体" w:cs="Times New Roman"/>
                <w:b/>
                <w:color w:val="auto"/>
              </w:rPr>
            </w:pPr>
            <w:r>
              <w:rPr>
                <w:rFonts w:hint="default" w:ascii="Times New Roman" w:hAnsi="Times New Roman" w:eastAsia="宋体" w:cs="Times New Roman"/>
                <w:b/>
                <w:color w:val="auto"/>
              </w:rPr>
              <w:t>变动原因/备注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322" w:type="pct"/>
            <w:vMerge w:val="restart"/>
            <w:vAlign w:val="center"/>
          </w:tcPr>
          <w:p>
            <w:pPr>
              <w:pStyle w:val="24"/>
              <w:rPr>
                <w:rFonts w:hint="default" w:ascii="Times New Roman" w:hAnsi="Times New Roman" w:eastAsia="宋体" w:cs="Times New Roman"/>
                <w:color w:val="auto"/>
              </w:rPr>
            </w:pPr>
            <w:r>
              <w:rPr>
                <w:rFonts w:hint="default" w:ascii="Times New Roman" w:hAnsi="Times New Roman" w:eastAsia="宋体" w:cs="Times New Roman"/>
                <w:color w:val="auto"/>
              </w:rPr>
              <w:t>废气环保设施变动</w:t>
            </w:r>
          </w:p>
        </w:tc>
        <w:tc>
          <w:tcPr>
            <w:tcW w:w="665" w:type="pct"/>
            <w:vAlign w:val="center"/>
          </w:tcPr>
          <w:p>
            <w:pPr>
              <w:adjustRightInd w:val="0"/>
              <w:snapToGrid w:val="0"/>
              <w:jc w:val="center"/>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2#可膨胀石墨生产车间</w:t>
            </w:r>
          </w:p>
        </w:tc>
        <w:tc>
          <w:tcPr>
            <w:tcW w:w="1552" w:type="pct"/>
            <w:vAlign w:val="center"/>
          </w:tcPr>
          <w:p>
            <w:pPr>
              <w:adjustRightInd w:val="0"/>
              <w:snapToGrid w:val="0"/>
              <w:jc w:val="center"/>
              <w:textAlignment w:val="baseline"/>
              <w:rPr>
                <w:rFonts w:hint="default" w:ascii="Times New Roman" w:hAnsi="Times New Roman" w:eastAsia="宋体" w:cs="Times New Roman"/>
                <w:color w:val="auto"/>
                <w:szCs w:val="24"/>
              </w:rPr>
            </w:pPr>
            <w:r>
              <w:rPr>
                <w:rFonts w:hint="default" w:ascii="Times New Roman" w:hAnsi="Times New Roman" w:eastAsia="宋体" w:cs="Times New Roman"/>
                <w:color w:val="auto"/>
                <w:sz w:val="24"/>
                <w:szCs w:val="24"/>
              </w:rPr>
              <w:t>投料粉尘、出料粉尘、磨粉粉尘经同一套布袋除尘器处理，再通过同一根15m高P3排气筒排放</w:t>
            </w:r>
          </w:p>
        </w:tc>
        <w:tc>
          <w:tcPr>
            <w:tcW w:w="1609" w:type="pct"/>
            <w:vAlign w:val="center"/>
          </w:tcPr>
          <w:p>
            <w:pPr>
              <w:adjustRightInd w:val="0"/>
              <w:snapToGrid w:val="0"/>
              <w:jc w:val="center"/>
              <w:textAlignment w:val="baseline"/>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4"/>
                <w:szCs w:val="24"/>
              </w:rPr>
              <w:t>投料粉尘、出料粉尘、磨粉粉尘经同一套布袋除尘器处理，再通过同一根15m高P3排气筒排放</w:t>
            </w:r>
          </w:p>
        </w:tc>
        <w:tc>
          <w:tcPr>
            <w:tcW w:w="850" w:type="pct"/>
            <w:vMerge w:val="restart"/>
            <w:vAlign w:val="center"/>
          </w:tcPr>
          <w:p>
            <w:pPr>
              <w:adjustRightInd w:val="0"/>
              <w:snapToGrid w:val="0"/>
              <w:jc w:val="center"/>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#可膨胀石墨生产车间</w:t>
            </w:r>
            <w:r>
              <w:rPr>
                <w:rFonts w:hint="default" w:ascii="Times New Roman" w:hAnsi="Times New Roman" w:eastAsia="宋体" w:cs="Times New Roman"/>
                <w:color w:val="auto"/>
                <w:sz w:val="24"/>
                <w:szCs w:val="24"/>
                <w:lang w:val="en-US" w:eastAsia="zh-CN"/>
              </w:rPr>
              <w:t>和</w:t>
            </w:r>
            <w:r>
              <w:rPr>
                <w:rFonts w:hint="default" w:ascii="Times New Roman" w:hAnsi="Times New Roman" w:eastAsia="宋体" w:cs="Times New Roman"/>
                <w:color w:val="auto"/>
                <w:sz w:val="24"/>
                <w:szCs w:val="24"/>
              </w:rPr>
              <w:t>微粉石墨生产车间粉尘</w:t>
            </w:r>
            <w:r>
              <w:rPr>
                <w:rFonts w:hint="default" w:ascii="Times New Roman" w:hAnsi="Times New Roman" w:eastAsia="宋体" w:cs="Times New Roman"/>
                <w:color w:val="auto"/>
                <w:sz w:val="24"/>
                <w:szCs w:val="24"/>
                <w:lang w:val="en-US" w:eastAsia="zh-CN"/>
              </w:rPr>
              <w:t>共用一套生产设备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322" w:type="pct"/>
            <w:vMerge w:val="continue"/>
            <w:vAlign w:val="center"/>
          </w:tcPr>
          <w:p>
            <w:pPr>
              <w:pStyle w:val="24"/>
              <w:rPr>
                <w:rFonts w:hint="default" w:ascii="Times New Roman" w:hAnsi="Times New Roman" w:eastAsia="宋体" w:cs="Times New Roman"/>
                <w:color w:val="auto"/>
              </w:rPr>
            </w:pPr>
          </w:p>
        </w:tc>
        <w:tc>
          <w:tcPr>
            <w:tcW w:w="665" w:type="pct"/>
            <w:vAlign w:val="center"/>
          </w:tcPr>
          <w:p>
            <w:pPr>
              <w:adjustRightInd w:val="0"/>
              <w:snapToGrid w:val="0"/>
              <w:jc w:val="center"/>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2#可膨胀石墨生产车间</w:t>
            </w:r>
          </w:p>
        </w:tc>
        <w:tc>
          <w:tcPr>
            <w:tcW w:w="1552" w:type="pct"/>
            <w:vAlign w:val="center"/>
          </w:tcPr>
          <w:p>
            <w:pPr>
              <w:adjustRightInd w:val="0"/>
              <w:snapToGrid w:val="0"/>
              <w:jc w:val="center"/>
              <w:textAlignment w:val="baseline"/>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4"/>
              </w:rPr>
              <w:t>燃料燃烧废气采用低氮燃烧器控制氮氧化物的产生量，烘干粉尘经脉冲式袋式除尘器处理，尾气通过15m高P4排气筒排放</w:t>
            </w:r>
          </w:p>
        </w:tc>
        <w:tc>
          <w:tcPr>
            <w:tcW w:w="1609" w:type="pct"/>
            <w:vAlign w:val="center"/>
          </w:tcPr>
          <w:p>
            <w:pPr>
              <w:adjustRightInd w:val="0"/>
              <w:snapToGrid w:val="0"/>
              <w:jc w:val="center"/>
              <w:textAlignment w:val="baseline"/>
              <w:rPr>
                <w:rFonts w:hint="default" w:ascii="Times New Roman" w:hAnsi="Times New Roman" w:eastAsia="宋体" w:cs="Times New Roman"/>
                <w:color w:val="auto"/>
                <w:kern w:val="2"/>
                <w:sz w:val="24"/>
                <w:szCs w:val="22"/>
                <w:lang w:val="en-US" w:eastAsia="zh-CN" w:bidi="ar-SA"/>
              </w:rPr>
            </w:pPr>
            <w:r>
              <w:rPr>
                <w:rFonts w:hint="default" w:ascii="Times New Roman" w:hAnsi="Times New Roman" w:eastAsia="宋体" w:cs="Times New Roman"/>
                <w:color w:val="auto"/>
                <w:sz w:val="24"/>
                <w:szCs w:val="24"/>
              </w:rPr>
              <w:t>燃料燃烧废气采用低氮燃烧器控制氮氧化物的产生量，烘干粉尘经脉冲式袋式除尘器处理，尾气通过15m高P4排气筒排放</w:t>
            </w:r>
          </w:p>
        </w:tc>
        <w:tc>
          <w:tcPr>
            <w:tcW w:w="850" w:type="pct"/>
            <w:vMerge w:val="continue"/>
            <w:vAlign w:val="center"/>
          </w:tcPr>
          <w:p>
            <w:pPr>
              <w:widowControl/>
              <w:jc w:val="center"/>
              <w:rPr>
                <w:rFonts w:hint="default" w:ascii="Times New Roman" w:hAnsi="Times New Roman" w:eastAsia="宋体"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322" w:type="pct"/>
            <w:vMerge w:val="continue"/>
            <w:vAlign w:val="center"/>
          </w:tcPr>
          <w:p>
            <w:pPr>
              <w:pStyle w:val="24"/>
              <w:rPr>
                <w:rFonts w:hint="default" w:ascii="Times New Roman" w:hAnsi="Times New Roman" w:eastAsia="宋体" w:cs="Times New Roman"/>
                <w:color w:val="auto"/>
              </w:rPr>
            </w:pPr>
          </w:p>
        </w:tc>
        <w:tc>
          <w:tcPr>
            <w:tcW w:w="665" w:type="pct"/>
            <w:vAlign w:val="center"/>
          </w:tcPr>
          <w:p>
            <w:pPr>
              <w:adjustRightInd w:val="0"/>
              <w:snapToGrid w:val="0"/>
              <w:jc w:val="center"/>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微粉石墨生产车间</w:t>
            </w:r>
          </w:p>
        </w:tc>
        <w:tc>
          <w:tcPr>
            <w:tcW w:w="1552" w:type="pct"/>
            <w:vAlign w:val="center"/>
          </w:tcPr>
          <w:p>
            <w:pPr>
              <w:adjustRightInd w:val="0"/>
              <w:snapToGrid w:val="0"/>
              <w:jc w:val="center"/>
              <w:textAlignment w:val="baseline"/>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4"/>
              </w:rPr>
              <w:t>投料粉尘、出料粉尘、磨粉粉尘经同一套布袋除尘器处理，再通过同一根15m高P5排气筒排放</w:t>
            </w:r>
          </w:p>
        </w:tc>
        <w:tc>
          <w:tcPr>
            <w:tcW w:w="1609" w:type="pct"/>
            <w:vAlign w:val="center"/>
          </w:tcPr>
          <w:p>
            <w:pPr>
              <w:adjustRightInd w:val="0"/>
              <w:snapToGrid w:val="0"/>
              <w:jc w:val="center"/>
              <w:textAlignment w:val="baseline"/>
              <w:rPr>
                <w:rFonts w:hint="default" w:ascii="Times New Roman" w:hAnsi="Times New Roman" w:eastAsia="宋体" w:cs="Times New Roman"/>
                <w:color w:val="auto"/>
                <w:kern w:val="2"/>
                <w:sz w:val="24"/>
                <w:szCs w:val="20"/>
                <w:lang w:val="en-US" w:eastAsia="zh-CN" w:bidi="ar-SA"/>
              </w:rPr>
            </w:pPr>
            <w:r>
              <w:rPr>
                <w:rFonts w:hint="default" w:ascii="Times New Roman" w:hAnsi="Times New Roman" w:eastAsia="宋体" w:cs="Times New Roman"/>
                <w:color w:val="auto"/>
                <w:sz w:val="24"/>
                <w:szCs w:val="24"/>
              </w:rPr>
              <w:t>投料粉尘、出料粉尘、磨粉粉尘经同一套布袋除尘器处理，再通过同一根15m高P5排气筒排放</w:t>
            </w:r>
          </w:p>
        </w:tc>
        <w:tc>
          <w:tcPr>
            <w:tcW w:w="850" w:type="pct"/>
            <w:vMerge w:val="continue"/>
            <w:vAlign w:val="center"/>
          </w:tcPr>
          <w:p>
            <w:pPr>
              <w:widowControl/>
              <w:jc w:val="center"/>
              <w:rPr>
                <w:rFonts w:hint="default" w:ascii="Times New Roman" w:hAnsi="Times New Roman" w:eastAsia="宋体"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322" w:type="pct"/>
            <w:vMerge w:val="continue"/>
            <w:vAlign w:val="center"/>
          </w:tcPr>
          <w:p>
            <w:pPr>
              <w:pStyle w:val="24"/>
              <w:rPr>
                <w:rFonts w:hint="default" w:ascii="Times New Roman" w:hAnsi="Times New Roman" w:eastAsia="宋体" w:cs="Times New Roman"/>
                <w:color w:val="auto"/>
              </w:rPr>
            </w:pPr>
          </w:p>
        </w:tc>
        <w:tc>
          <w:tcPr>
            <w:tcW w:w="665" w:type="pct"/>
            <w:vAlign w:val="center"/>
          </w:tcPr>
          <w:p>
            <w:pPr>
              <w:adjustRightInd w:val="0"/>
              <w:snapToGrid w:val="0"/>
              <w:jc w:val="center"/>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微粉石墨生产车间</w:t>
            </w:r>
          </w:p>
        </w:tc>
        <w:tc>
          <w:tcPr>
            <w:tcW w:w="1552" w:type="pct"/>
            <w:vAlign w:val="center"/>
          </w:tcPr>
          <w:p>
            <w:pPr>
              <w:adjustRightInd w:val="0"/>
              <w:snapToGrid w:val="0"/>
              <w:jc w:val="center"/>
              <w:textAlignment w:val="baseline"/>
              <w:rPr>
                <w:rFonts w:hint="default" w:ascii="Times New Roman" w:hAnsi="Times New Roman" w:eastAsia="宋体" w:cs="Times New Roman"/>
                <w:color w:val="auto"/>
                <w:sz w:val="24"/>
                <w:szCs w:val="20"/>
              </w:rPr>
            </w:pPr>
            <w:r>
              <w:rPr>
                <w:rFonts w:hint="default" w:ascii="Times New Roman" w:hAnsi="Times New Roman" w:eastAsia="宋体" w:cs="Times New Roman"/>
                <w:color w:val="auto"/>
                <w:sz w:val="24"/>
                <w:szCs w:val="24"/>
              </w:rPr>
              <w:t>燃料燃烧废气采用低氮燃烧器控制氮氧化物的产生量，烘干粉尘经脉冲式袋式除尘器处理，尾气通过15m高P6排气筒排放</w:t>
            </w:r>
          </w:p>
        </w:tc>
        <w:tc>
          <w:tcPr>
            <w:tcW w:w="1609" w:type="pct"/>
            <w:vAlign w:val="center"/>
          </w:tcPr>
          <w:p>
            <w:pPr>
              <w:adjustRightInd w:val="0"/>
              <w:snapToGrid w:val="0"/>
              <w:jc w:val="center"/>
              <w:textAlignment w:val="baseline"/>
              <w:rPr>
                <w:rFonts w:hint="default" w:ascii="Times New Roman" w:hAnsi="Times New Roman" w:eastAsia="宋体" w:cs="Times New Roman"/>
                <w:color w:val="auto"/>
                <w:kern w:val="2"/>
                <w:sz w:val="24"/>
                <w:szCs w:val="20"/>
                <w:lang w:val="en-US" w:eastAsia="zh-CN" w:bidi="ar-SA"/>
              </w:rPr>
            </w:pPr>
            <w:r>
              <w:rPr>
                <w:rFonts w:hint="default" w:ascii="Times New Roman" w:hAnsi="Times New Roman" w:eastAsia="宋体" w:cs="Times New Roman"/>
                <w:color w:val="auto"/>
                <w:sz w:val="24"/>
                <w:szCs w:val="24"/>
              </w:rPr>
              <w:t>燃料燃烧废气采用低氮燃烧器控制氮氧化物的产生量，烘干粉尘经脉冲式袋式除尘器处理，尾气通过15m高P6排气筒排放</w:t>
            </w:r>
          </w:p>
        </w:tc>
        <w:tc>
          <w:tcPr>
            <w:tcW w:w="850" w:type="pct"/>
            <w:vAlign w:val="center"/>
          </w:tcPr>
          <w:p>
            <w:pPr>
              <w:widowControl/>
              <w:jc w:val="center"/>
              <w:rPr>
                <w:rFonts w:hint="default" w:ascii="Times New Roman" w:hAnsi="Times New Roman" w:eastAsia="宋体" w:cs="Times New Roman"/>
                <w:color w:val="auto"/>
                <w:sz w:val="24"/>
                <w:szCs w:val="24"/>
              </w:rPr>
            </w:pPr>
          </w:p>
        </w:tc>
      </w:tr>
    </w:tbl>
    <w:p>
      <w:pPr>
        <w:spacing w:line="460" w:lineRule="exact"/>
        <w:ind w:firstLine="480" w:firstLineChars="200"/>
        <w:rPr>
          <w:rFonts w:hint="eastAsia"/>
          <w:bCs/>
          <w:sz w:val="24"/>
          <w:szCs w:val="24"/>
        </w:rPr>
      </w:pPr>
      <w:r>
        <w:rPr>
          <w:rFonts w:hint="eastAsia"/>
          <w:bCs/>
          <w:sz w:val="24"/>
          <w:szCs w:val="24"/>
        </w:rPr>
        <w:t>本项目分期建设，分期验收，2#可膨胀石墨生产车间和微粉石墨生产车间粉尘共用一套生产设备</w:t>
      </w:r>
      <w:r>
        <w:rPr>
          <w:rFonts w:hint="eastAsia"/>
          <w:bCs/>
          <w:sz w:val="24"/>
          <w:szCs w:val="24"/>
          <w:lang w:eastAsia="zh-CN"/>
        </w:rPr>
        <w:t>，</w:t>
      </w:r>
      <w:r>
        <w:rPr>
          <w:rFonts w:hint="eastAsia"/>
          <w:bCs/>
          <w:sz w:val="24"/>
          <w:szCs w:val="24"/>
          <w:lang w:val="en-US" w:eastAsia="zh-CN"/>
        </w:rPr>
        <w:t>处理设施不变。</w:t>
      </w:r>
      <w:r>
        <w:rPr>
          <w:rFonts w:hint="eastAsia"/>
          <w:bCs/>
          <w:sz w:val="24"/>
          <w:szCs w:val="24"/>
        </w:rPr>
        <w:t>根据《关于印发环评管理中部分行业建设项目重大变动清单的通知》（环办</w:t>
      </w:r>
      <w:r>
        <w:rPr>
          <w:rFonts w:hint="eastAsia"/>
          <w:bCs/>
          <w:sz w:val="24"/>
          <w:szCs w:val="24"/>
          <w:lang w:val="en-US" w:eastAsia="zh-CN"/>
        </w:rPr>
        <w:t>环评函</w:t>
      </w:r>
      <w:r>
        <w:rPr>
          <w:rFonts w:hint="eastAsia"/>
          <w:bCs/>
          <w:sz w:val="24"/>
          <w:szCs w:val="24"/>
        </w:rPr>
        <w:t>[20</w:t>
      </w:r>
      <w:r>
        <w:rPr>
          <w:rFonts w:hint="eastAsia"/>
          <w:bCs/>
          <w:sz w:val="24"/>
          <w:szCs w:val="24"/>
          <w:lang w:val="en-US" w:eastAsia="zh-CN"/>
        </w:rPr>
        <w:t>20</w:t>
      </w:r>
      <w:r>
        <w:rPr>
          <w:rFonts w:hint="eastAsia"/>
          <w:bCs/>
          <w:sz w:val="24"/>
          <w:szCs w:val="24"/>
        </w:rPr>
        <w:t>]</w:t>
      </w:r>
      <w:r>
        <w:rPr>
          <w:rFonts w:hint="eastAsia"/>
          <w:bCs/>
          <w:sz w:val="24"/>
          <w:szCs w:val="24"/>
          <w:lang w:val="en-US" w:eastAsia="zh-CN"/>
        </w:rPr>
        <w:t>688</w:t>
      </w:r>
      <w:r>
        <w:rPr>
          <w:rFonts w:hint="eastAsia"/>
          <w:bCs/>
          <w:sz w:val="24"/>
          <w:szCs w:val="24"/>
        </w:rPr>
        <w:t>号，20</w:t>
      </w:r>
      <w:r>
        <w:rPr>
          <w:rFonts w:hint="eastAsia"/>
          <w:bCs/>
          <w:sz w:val="24"/>
          <w:szCs w:val="24"/>
          <w:lang w:val="en-US" w:eastAsia="zh-CN"/>
        </w:rPr>
        <w:t>20.12.13</w:t>
      </w:r>
      <w:r>
        <w:rPr>
          <w:rFonts w:hint="eastAsia"/>
          <w:bCs/>
          <w:sz w:val="24"/>
          <w:szCs w:val="24"/>
        </w:rPr>
        <w:t>）及《环境保护部办公厅关于印发制浆造纸等十四个行业建设项目重大变动清单的通知》（环办环评[2018]6号，2018.01.29），以上变动未造成不利环境影响，不属于重大变动。</w:t>
      </w:r>
    </w:p>
    <w:p>
      <w:pPr>
        <w:spacing w:line="460" w:lineRule="exact"/>
        <w:ind w:firstLine="482" w:firstLineChars="200"/>
        <w:rPr>
          <w:b/>
          <w:sz w:val="24"/>
          <w:szCs w:val="24"/>
        </w:rPr>
      </w:pPr>
      <w:r>
        <w:rPr>
          <w:b/>
          <w:sz w:val="24"/>
          <w:szCs w:val="24"/>
        </w:rPr>
        <w:t>三、环境保护设施建设情况</w:t>
      </w:r>
    </w:p>
    <w:p>
      <w:pPr>
        <w:spacing w:line="460" w:lineRule="exact"/>
        <w:ind w:firstLine="480" w:firstLineChars="200"/>
        <w:rPr>
          <w:sz w:val="24"/>
          <w:szCs w:val="24"/>
        </w:rPr>
      </w:pPr>
      <w:r>
        <w:rPr>
          <w:sz w:val="24"/>
          <w:szCs w:val="24"/>
        </w:rPr>
        <w:t>（一）废水</w:t>
      </w:r>
    </w:p>
    <w:p>
      <w:pPr>
        <w:spacing w:line="460" w:lineRule="exact"/>
        <w:ind w:firstLine="480" w:firstLineChars="200"/>
        <w:rPr>
          <w:rFonts w:hint="eastAsia"/>
          <w:sz w:val="24"/>
          <w:szCs w:val="24"/>
        </w:rPr>
      </w:pPr>
      <w:r>
        <w:rPr>
          <w:rFonts w:hint="eastAsia"/>
          <w:sz w:val="24"/>
          <w:szCs w:val="24"/>
        </w:rPr>
        <w:t>本项目生产不用水，项目不新增员工，不新增生活污水。厂区实施“雨污分流”，无生产废水排放。</w:t>
      </w:r>
    </w:p>
    <w:p>
      <w:pPr>
        <w:spacing w:line="460" w:lineRule="exact"/>
        <w:ind w:firstLine="480" w:firstLineChars="200"/>
        <w:rPr>
          <w:sz w:val="24"/>
          <w:szCs w:val="24"/>
        </w:rPr>
      </w:pPr>
      <w:r>
        <w:rPr>
          <w:sz w:val="24"/>
          <w:szCs w:val="24"/>
        </w:rPr>
        <w:t>（二）废气</w:t>
      </w:r>
    </w:p>
    <w:p>
      <w:pPr>
        <w:spacing w:line="460" w:lineRule="exact"/>
        <w:ind w:firstLine="480" w:firstLineChars="200"/>
        <w:rPr>
          <w:rFonts w:hint="eastAsia"/>
          <w:bCs/>
          <w:sz w:val="24"/>
          <w:szCs w:val="24"/>
        </w:rPr>
      </w:pPr>
      <w:r>
        <w:rPr>
          <w:rFonts w:hint="eastAsia"/>
          <w:bCs/>
          <w:sz w:val="24"/>
          <w:szCs w:val="24"/>
        </w:rPr>
        <w:t>项目有组织废气中2#可膨胀石墨生产车间和微粉石墨生产车间粉尘共用一套生产设备，投料粉尘、出料粉尘、烘干经同一套布袋除尘器处理，再通过同一根15m高P3排气筒排放；</w:t>
      </w:r>
    </w:p>
    <w:p>
      <w:pPr>
        <w:spacing w:line="460" w:lineRule="exact"/>
        <w:ind w:firstLine="480" w:firstLineChars="200"/>
        <w:rPr>
          <w:rFonts w:hint="eastAsia"/>
          <w:bCs/>
          <w:sz w:val="24"/>
          <w:szCs w:val="24"/>
        </w:rPr>
      </w:pPr>
      <w:r>
        <w:rPr>
          <w:rFonts w:hint="eastAsia"/>
          <w:bCs/>
          <w:sz w:val="24"/>
          <w:szCs w:val="24"/>
        </w:rPr>
        <w:t>本项目2#可膨胀石墨生产车间和微粉石墨生产车间共用一套生产设备，磨粉粉尘烘干粉尘经同一套布袋除尘器处理，再通过同一根15m高P5排气筒排放</w:t>
      </w:r>
    </w:p>
    <w:p>
      <w:pPr>
        <w:spacing w:line="460" w:lineRule="exact"/>
        <w:ind w:firstLine="480" w:firstLineChars="200"/>
        <w:rPr>
          <w:rFonts w:hint="eastAsia"/>
          <w:bCs/>
          <w:sz w:val="24"/>
          <w:szCs w:val="24"/>
        </w:rPr>
      </w:pPr>
      <w:r>
        <w:rPr>
          <w:rFonts w:hint="eastAsia"/>
          <w:bCs/>
          <w:sz w:val="24"/>
          <w:szCs w:val="24"/>
        </w:rPr>
        <w:t>项目无组织废气主要为生产过程中未被收集的废气，于车间内无组织排放，企业通过加强生产管理，密闭生产车间，来降低无组织废气的排放。</w:t>
      </w:r>
    </w:p>
    <w:p>
      <w:pPr>
        <w:spacing w:line="460" w:lineRule="exact"/>
        <w:ind w:firstLine="480" w:firstLineChars="200"/>
        <w:rPr>
          <w:sz w:val="24"/>
          <w:szCs w:val="24"/>
        </w:rPr>
      </w:pPr>
      <w:r>
        <w:rPr>
          <w:sz w:val="24"/>
          <w:szCs w:val="24"/>
        </w:rPr>
        <w:t>（三）噪声</w:t>
      </w:r>
    </w:p>
    <w:p>
      <w:pPr>
        <w:spacing w:line="460" w:lineRule="exact"/>
        <w:ind w:firstLine="480" w:firstLineChars="200"/>
        <w:rPr>
          <w:rFonts w:hint="eastAsia"/>
          <w:bCs/>
          <w:sz w:val="24"/>
          <w:szCs w:val="24"/>
        </w:rPr>
      </w:pPr>
      <w:r>
        <w:rPr>
          <w:rFonts w:hint="eastAsia"/>
          <w:bCs/>
          <w:sz w:val="24"/>
          <w:szCs w:val="24"/>
        </w:rPr>
        <w:t>项目营运期噪声主要是新增滚筒机等机械设备运行产生的噪声。企业通过选用低噪声设备，合理布局，采取减振、消音、隔声等措施降低噪声的影响。</w:t>
      </w:r>
    </w:p>
    <w:p>
      <w:pPr>
        <w:spacing w:line="460" w:lineRule="exact"/>
        <w:ind w:firstLine="480" w:firstLineChars="200"/>
        <w:rPr>
          <w:sz w:val="24"/>
          <w:szCs w:val="24"/>
        </w:rPr>
      </w:pPr>
      <w:r>
        <w:rPr>
          <w:sz w:val="24"/>
          <w:szCs w:val="24"/>
        </w:rPr>
        <w:t>（四）固废</w:t>
      </w:r>
    </w:p>
    <w:p>
      <w:pPr>
        <w:spacing w:line="460" w:lineRule="exact"/>
        <w:ind w:firstLine="480" w:firstLineChars="200"/>
        <w:rPr>
          <w:rFonts w:hint="eastAsia"/>
          <w:bCs/>
          <w:sz w:val="24"/>
          <w:szCs w:val="24"/>
        </w:rPr>
      </w:pPr>
      <w:r>
        <w:rPr>
          <w:rFonts w:hint="eastAsia"/>
          <w:bCs/>
          <w:sz w:val="24"/>
          <w:szCs w:val="24"/>
        </w:rPr>
        <w:t>项目固废主要为除尘器收集的粉尘</w:t>
      </w:r>
      <w:bookmarkStart w:id="1" w:name="_GoBack"/>
      <w:bookmarkEnd w:id="1"/>
      <w:r>
        <w:rPr>
          <w:rFonts w:hint="eastAsia"/>
          <w:bCs/>
          <w:sz w:val="24"/>
          <w:szCs w:val="24"/>
        </w:rPr>
        <w:t>、废布袋、初期雨水收集池沉淀物。项目不新增职工，不新增生活垃圾。其中除尘器收尘和初期雨水收集池沉淀物回用于生产，废布袋外售综合利用。</w:t>
      </w:r>
    </w:p>
    <w:p>
      <w:pPr>
        <w:spacing w:line="460" w:lineRule="exact"/>
        <w:ind w:firstLine="480" w:firstLineChars="200"/>
        <w:rPr>
          <w:sz w:val="24"/>
          <w:szCs w:val="24"/>
        </w:rPr>
      </w:pPr>
      <w:r>
        <w:rPr>
          <w:sz w:val="24"/>
          <w:szCs w:val="24"/>
        </w:rPr>
        <w:t>（五）环境风险</w:t>
      </w:r>
    </w:p>
    <w:p>
      <w:pPr>
        <w:spacing w:line="460" w:lineRule="exact"/>
        <w:ind w:firstLine="480" w:firstLineChars="200"/>
        <w:rPr>
          <w:color w:val="auto"/>
          <w:sz w:val="24"/>
          <w:szCs w:val="24"/>
        </w:rPr>
      </w:pPr>
      <w:r>
        <w:rPr>
          <w:bCs/>
          <w:color w:val="auto"/>
          <w:sz w:val="24"/>
          <w:szCs w:val="24"/>
        </w:rPr>
        <w:t>企业编制了《</w:t>
      </w:r>
      <w:r>
        <w:rPr>
          <w:rFonts w:hint="eastAsia"/>
          <w:bCs/>
          <w:color w:val="auto"/>
          <w:sz w:val="24"/>
          <w:szCs w:val="24"/>
          <w:lang w:eastAsia="zh-CN"/>
        </w:rPr>
        <w:t>青岛天龙石墨有限公司</w:t>
      </w:r>
      <w:r>
        <w:rPr>
          <w:bCs/>
          <w:color w:val="auto"/>
          <w:sz w:val="24"/>
          <w:szCs w:val="24"/>
        </w:rPr>
        <w:t>突发环境事件应急预案》，并在当地环保部门备案（备案号：3</w:t>
      </w:r>
      <w:r>
        <w:rPr>
          <w:rFonts w:hint="eastAsia"/>
          <w:bCs/>
          <w:color w:val="auto"/>
          <w:sz w:val="24"/>
          <w:szCs w:val="24"/>
        </w:rPr>
        <w:t>7</w:t>
      </w:r>
      <w:r>
        <w:rPr>
          <w:bCs/>
          <w:color w:val="auto"/>
          <w:sz w:val="24"/>
          <w:szCs w:val="24"/>
        </w:rPr>
        <w:t>0283-</w:t>
      </w:r>
      <w:r>
        <w:rPr>
          <w:rFonts w:hint="eastAsia"/>
          <w:bCs/>
          <w:color w:val="auto"/>
          <w:sz w:val="24"/>
          <w:szCs w:val="24"/>
        </w:rPr>
        <w:t>20</w:t>
      </w:r>
      <w:r>
        <w:rPr>
          <w:rFonts w:hint="eastAsia"/>
          <w:bCs/>
          <w:color w:val="auto"/>
          <w:sz w:val="24"/>
          <w:szCs w:val="24"/>
          <w:lang w:val="en-US" w:eastAsia="zh-CN"/>
        </w:rPr>
        <w:t>180716</w:t>
      </w:r>
      <w:r>
        <w:rPr>
          <w:bCs/>
          <w:color w:val="auto"/>
          <w:sz w:val="24"/>
          <w:szCs w:val="24"/>
        </w:rPr>
        <w:t>-</w:t>
      </w:r>
      <w:r>
        <w:rPr>
          <w:rFonts w:hint="eastAsia"/>
          <w:bCs/>
          <w:color w:val="auto"/>
          <w:sz w:val="24"/>
          <w:szCs w:val="24"/>
          <w:lang w:val="en-US" w:eastAsia="zh-CN"/>
        </w:rPr>
        <w:t>003</w:t>
      </w:r>
      <w:r>
        <w:rPr>
          <w:bCs/>
          <w:color w:val="auto"/>
          <w:sz w:val="24"/>
          <w:szCs w:val="24"/>
        </w:rPr>
        <w:t>-</w:t>
      </w:r>
      <w:r>
        <w:rPr>
          <w:rFonts w:hint="eastAsia"/>
          <w:bCs/>
          <w:color w:val="auto"/>
          <w:sz w:val="24"/>
          <w:szCs w:val="24"/>
          <w:lang w:val="en-US" w:eastAsia="zh-CN"/>
        </w:rPr>
        <w:t>M</w:t>
      </w:r>
      <w:r>
        <w:rPr>
          <w:bCs/>
          <w:color w:val="auto"/>
          <w:sz w:val="24"/>
          <w:szCs w:val="24"/>
        </w:rPr>
        <w:t>）。</w:t>
      </w:r>
    </w:p>
    <w:p>
      <w:pPr>
        <w:spacing w:line="460" w:lineRule="exact"/>
        <w:ind w:firstLine="482" w:firstLineChars="200"/>
        <w:rPr>
          <w:b/>
          <w:sz w:val="24"/>
          <w:szCs w:val="24"/>
        </w:rPr>
      </w:pPr>
      <w:r>
        <w:rPr>
          <w:b/>
          <w:sz w:val="24"/>
          <w:szCs w:val="24"/>
        </w:rPr>
        <w:t>四、环保措施调试效果</w:t>
      </w:r>
    </w:p>
    <w:p>
      <w:pPr>
        <w:spacing w:line="460" w:lineRule="exact"/>
        <w:ind w:firstLine="480" w:firstLineChars="200"/>
        <w:rPr>
          <w:sz w:val="24"/>
          <w:szCs w:val="24"/>
        </w:rPr>
      </w:pPr>
      <w:r>
        <w:rPr>
          <w:rFonts w:hint="eastAsia"/>
          <w:sz w:val="24"/>
          <w:szCs w:val="24"/>
          <w:lang w:eastAsia="zh-CN"/>
        </w:rPr>
        <w:t>青岛天龙石墨有限公司</w:t>
      </w:r>
      <w:r>
        <w:rPr>
          <w:sz w:val="24"/>
          <w:szCs w:val="24"/>
        </w:rPr>
        <w:t>验收监测报告表明，验收监测期间：</w:t>
      </w:r>
    </w:p>
    <w:p>
      <w:pPr>
        <w:spacing w:line="460" w:lineRule="exact"/>
        <w:ind w:firstLine="480" w:firstLineChars="200"/>
        <w:rPr>
          <w:rFonts w:hint="eastAsia"/>
          <w:bCs/>
          <w:sz w:val="24"/>
          <w:szCs w:val="24"/>
        </w:rPr>
      </w:pPr>
      <w:r>
        <w:rPr>
          <w:rFonts w:hint="eastAsia"/>
          <w:bCs/>
          <w:sz w:val="24"/>
          <w:szCs w:val="24"/>
        </w:rPr>
        <w:t>验收监测期间，投料出料烘干废气排气筒（P3）中颗粒物、SO2、NOX排放浓度均满足《锅炉大气污染物排放标准》（DB 37/2374-2018）表2重点控制区标准要求；</w:t>
      </w:r>
    </w:p>
    <w:p>
      <w:pPr>
        <w:spacing w:line="460" w:lineRule="exact"/>
        <w:ind w:firstLine="480" w:firstLineChars="200"/>
        <w:rPr>
          <w:rFonts w:hint="eastAsia"/>
          <w:bCs/>
          <w:sz w:val="24"/>
          <w:szCs w:val="24"/>
        </w:rPr>
      </w:pPr>
      <w:r>
        <w:rPr>
          <w:rFonts w:hint="eastAsia"/>
          <w:bCs/>
          <w:sz w:val="24"/>
          <w:szCs w:val="24"/>
        </w:rPr>
        <w:t>无组织排放废气中颗粒物满足《大气污染物综合排放标准》（GB 16297-1996）表2中无组织排放监控浓度限值要求。</w:t>
      </w:r>
    </w:p>
    <w:p>
      <w:pPr>
        <w:spacing w:line="460" w:lineRule="exact"/>
        <w:ind w:firstLine="480" w:firstLineChars="200"/>
        <w:rPr>
          <w:rFonts w:hint="eastAsia"/>
          <w:bCs/>
          <w:sz w:val="24"/>
          <w:szCs w:val="24"/>
        </w:rPr>
      </w:pPr>
      <w:r>
        <w:rPr>
          <w:rFonts w:hint="eastAsia"/>
          <w:bCs/>
          <w:sz w:val="24"/>
          <w:szCs w:val="24"/>
        </w:rPr>
        <w:t>验收监测期间，厂界昼夜间噪声满足《工业企业厂界环境噪声排放标准》（GB12348-2008）表1中2类声环境功能区标准要求。</w:t>
      </w:r>
    </w:p>
    <w:p>
      <w:pPr>
        <w:spacing w:line="460" w:lineRule="exact"/>
        <w:ind w:firstLine="482" w:firstLineChars="200"/>
        <w:rPr>
          <w:b/>
          <w:sz w:val="24"/>
          <w:szCs w:val="24"/>
        </w:rPr>
      </w:pPr>
      <w:r>
        <w:rPr>
          <w:b/>
          <w:sz w:val="24"/>
          <w:szCs w:val="24"/>
        </w:rPr>
        <w:t>五、验收结论</w:t>
      </w:r>
    </w:p>
    <w:p>
      <w:pPr>
        <w:spacing w:line="460" w:lineRule="exact"/>
        <w:ind w:firstLine="480" w:firstLineChars="200"/>
        <w:rPr>
          <w:sz w:val="24"/>
          <w:szCs w:val="24"/>
        </w:rPr>
      </w:pPr>
      <w:r>
        <w:rPr>
          <w:sz w:val="24"/>
          <w:szCs w:val="24"/>
        </w:rPr>
        <w:t>项目已按环评和批复要求完成</w:t>
      </w:r>
      <w:r>
        <w:rPr>
          <w:rFonts w:hint="eastAsia"/>
          <w:sz w:val="24"/>
          <w:szCs w:val="24"/>
          <w:lang w:eastAsia="zh-CN"/>
        </w:rPr>
        <w:t>“</w:t>
      </w:r>
      <w:r>
        <w:rPr>
          <w:sz w:val="24"/>
          <w:szCs w:val="24"/>
        </w:rPr>
        <w:t>三同时</w:t>
      </w:r>
      <w:r>
        <w:rPr>
          <w:rFonts w:hint="eastAsia"/>
          <w:sz w:val="24"/>
          <w:szCs w:val="24"/>
          <w:lang w:eastAsia="zh-CN"/>
        </w:rPr>
        <w:t>”</w:t>
      </w:r>
      <w:r>
        <w:rPr>
          <w:sz w:val="24"/>
          <w:szCs w:val="24"/>
        </w:rPr>
        <w:t>建设，无重大变动，污染物达标排放，验收监测报告结论可信，验收合格。</w:t>
      </w:r>
    </w:p>
    <w:p>
      <w:pPr>
        <w:spacing w:line="460" w:lineRule="exact"/>
        <w:ind w:firstLine="482" w:firstLineChars="200"/>
        <w:rPr>
          <w:b/>
          <w:sz w:val="24"/>
          <w:szCs w:val="24"/>
        </w:rPr>
      </w:pPr>
      <w:r>
        <w:rPr>
          <w:b/>
          <w:sz w:val="24"/>
          <w:szCs w:val="24"/>
        </w:rPr>
        <w:t>六、后续要求</w:t>
      </w:r>
    </w:p>
    <w:p>
      <w:pPr>
        <w:spacing w:line="460" w:lineRule="exact"/>
        <w:ind w:firstLine="480" w:firstLineChars="200"/>
        <w:rPr>
          <w:sz w:val="24"/>
          <w:szCs w:val="24"/>
        </w:rPr>
      </w:pPr>
      <w:r>
        <w:rPr>
          <w:sz w:val="24"/>
          <w:szCs w:val="24"/>
        </w:rPr>
        <w:t>1、按照《排污单位自行监测技术指南-总则》(HJ819-2017)要求，自主组织进行污染源监测，并做好记录。</w:t>
      </w:r>
    </w:p>
    <w:p>
      <w:pPr>
        <w:spacing w:line="460" w:lineRule="exact"/>
        <w:ind w:firstLine="480" w:firstLineChars="200"/>
        <w:rPr>
          <w:sz w:val="24"/>
          <w:szCs w:val="24"/>
        </w:rPr>
      </w:pPr>
      <w:r>
        <w:rPr>
          <w:rFonts w:hint="eastAsia"/>
          <w:sz w:val="24"/>
          <w:szCs w:val="24"/>
          <w:lang w:val="en-US" w:eastAsia="zh-CN"/>
        </w:rPr>
        <w:t>2</w:t>
      </w:r>
      <w:r>
        <w:rPr>
          <w:rFonts w:hint="eastAsia"/>
          <w:sz w:val="24"/>
          <w:szCs w:val="24"/>
        </w:rPr>
        <w:t>、有组织废气排放口按规范要求设置采样平台；</w:t>
      </w:r>
    </w:p>
    <w:p>
      <w:pPr>
        <w:spacing w:line="460" w:lineRule="exact"/>
        <w:ind w:firstLine="480" w:firstLineChars="200"/>
        <w:rPr>
          <w:sz w:val="24"/>
          <w:szCs w:val="24"/>
        </w:rPr>
      </w:pPr>
    </w:p>
    <w:p>
      <w:pPr>
        <w:spacing w:line="460" w:lineRule="exact"/>
        <w:ind w:firstLine="482" w:firstLineChars="200"/>
        <w:jc w:val="right"/>
        <w:rPr>
          <w:rFonts w:hint="eastAsia" w:eastAsia="宋体"/>
          <w:b/>
          <w:bCs/>
          <w:sz w:val="24"/>
          <w:lang w:eastAsia="zh-CN"/>
        </w:rPr>
      </w:pPr>
      <w:r>
        <w:rPr>
          <w:rFonts w:hint="eastAsia"/>
          <w:b/>
          <w:bCs/>
          <w:sz w:val="24"/>
          <w:lang w:eastAsia="zh-CN"/>
        </w:rPr>
        <w:t>青岛天龙石墨有限公司</w:t>
      </w:r>
    </w:p>
    <w:p>
      <w:pPr>
        <w:spacing w:line="460" w:lineRule="exact"/>
        <w:ind w:firstLine="482" w:firstLineChars="200"/>
        <w:jc w:val="right"/>
        <w:rPr>
          <w:b/>
          <w:bCs/>
        </w:rPr>
      </w:pPr>
      <w:r>
        <w:rPr>
          <w:b/>
          <w:bCs/>
          <w:sz w:val="24"/>
        </w:rPr>
        <w:t>202</w:t>
      </w:r>
      <w:r>
        <w:rPr>
          <w:rFonts w:hint="eastAsia"/>
          <w:b/>
          <w:bCs/>
          <w:sz w:val="24"/>
          <w:lang w:val="en-US" w:eastAsia="zh-CN"/>
        </w:rPr>
        <w:t>1</w:t>
      </w:r>
      <w:r>
        <w:rPr>
          <w:b/>
          <w:bCs/>
          <w:sz w:val="24"/>
        </w:rPr>
        <w:t>年</w:t>
      </w:r>
      <w:r>
        <w:rPr>
          <w:rFonts w:hint="eastAsia"/>
          <w:b/>
          <w:bCs/>
          <w:sz w:val="24"/>
        </w:rPr>
        <w:t>1</w:t>
      </w:r>
      <w:r>
        <w:rPr>
          <w:b/>
          <w:bCs/>
          <w:sz w:val="24"/>
        </w:rPr>
        <w:t>月</w:t>
      </w:r>
      <w:r>
        <w:rPr>
          <w:rFonts w:hint="eastAsia"/>
          <w:b/>
          <w:bCs/>
          <w:sz w:val="24"/>
          <w:lang w:val="en-US" w:eastAsia="zh-CN"/>
        </w:rPr>
        <w:t>24</w:t>
      </w:r>
      <w:r>
        <w:rPr>
          <w:b/>
          <w:bCs/>
          <w:sz w:val="24"/>
        </w:rPr>
        <w:t>日</w:t>
      </w:r>
    </w:p>
    <w:p>
      <w:pPr>
        <w:spacing w:line="420" w:lineRule="exact"/>
        <w:rPr>
          <w:b/>
          <w:bCs/>
          <w:sz w:val="36"/>
          <w:szCs w:val="36"/>
        </w:rPr>
      </w:pPr>
      <w:r>
        <w:rPr>
          <w:b/>
          <w:bCs/>
          <w:sz w:val="32"/>
          <w:szCs w:val="32"/>
        </w:rPr>
        <w:br w:type="page"/>
      </w:r>
      <w:r>
        <w:rPr>
          <w:b/>
          <w:bCs/>
          <w:sz w:val="36"/>
          <w:szCs w:val="36"/>
        </w:rPr>
        <w:t>附件：</w:t>
      </w:r>
    </w:p>
    <w:p>
      <w:pPr>
        <w:spacing w:line="276" w:lineRule="auto"/>
        <w:jc w:val="center"/>
        <w:rPr>
          <w:rFonts w:hint="eastAsia"/>
          <w:b/>
          <w:sz w:val="36"/>
          <w:szCs w:val="21"/>
          <w:lang w:eastAsia="zh-CN"/>
        </w:rPr>
      </w:pPr>
      <w:r>
        <w:rPr>
          <w:rFonts w:hint="eastAsia"/>
          <w:b/>
          <w:sz w:val="36"/>
          <w:szCs w:val="21"/>
          <w:lang w:eastAsia="zh-CN"/>
        </w:rPr>
        <w:t>青岛天龙石墨有限公司</w:t>
      </w:r>
    </w:p>
    <w:p>
      <w:pPr>
        <w:spacing w:line="276" w:lineRule="auto"/>
        <w:jc w:val="center"/>
        <w:rPr>
          <w:rFonts w:hint="eastAsia" w:eastAsia="宋体"/>
          <w:sz w:val="22"/>
          <w:szCs w:val="21"/>
          <w:lang w:eastAsia="zh-CN"/>
        </w:rPr>
      </w:pPr>
      <w:r>
        <w:rPr>
          <w:rFonts w:hint="eastAsia"/>
          <w:b/>
          <w:sz w:val="36"/>
          <w:szCs w:val="21"/>
          <w:lang w:eastAsia="zh-CN"/>
        </w:rPr>
        <w:t>微粉石墨及可膨胀石墨改扩建项目（一期）</w:t>
      </w:r>
    </w:p>
    <w:p>
      <w:pPr>
        <w:spacing w:line="276" w:lineRule="auto"/>
        <w:jc w:val="center"/>
        <w:rPr>
          <w:sz w:val="22"/>
          <w:szCs w:val="21"/>
        </w:rPr>
      </w:pPr>
      <w:r>
        <w:rPr>
          <w:b/>
          <w:sz w:val="36"/>
          <w:szCs w:val="21"/>
        </w:rPr>
        <w:t>竣工环境保护验收</w:t>
      </w:r>
      <w:r>
        <w:rPr>
          <w:rFonts w:hint="eastAsia"/>
          <w:b/>
          <w:sz w:val="36"/>
          <w:szCs w:val="21"/>
          <w:lang w:val="en-US" w:eastAsia="zh-CN"/>
        </w:rPr>
        <w:t>人员信息</w:t>
      </w:r>
    </w:p>
    <w:p>
      <w:pPr>
        <w:spacing w:line="420" w:lineRule="exact"/>
        <w:ind w:firstLine="440" w:firstLineChars="200"/>
        <w:rPr>
          <w:sz w:val="22"/>
          <w:szCs w:val="21"/>
        </w:rPr>
      </w:pPr>
    </w:p>
    <w:tbl>
      <w:tblPr>
        <w:tblStyle w:val="12"/>
        <w:tblW w:w="0" w:type="auto"/>
        <w:jc w:val="center"/>
        <w:tblLayout w:type="fixed"/>
        <w:tblCellMar>
          <w:top w:w="0" w:type="dxa"/>
          <w:left w:w="51" w:type="dxa"/>
          <w:bottom w:w="0" w:type="dxa"/>
          <w:right w:w="51" w:type="dxa"/>
        </w:tblCellMar>
      </w:tblPr>
      <w:tblGrid>
        <w:gridCol w:w="608"/>
        <w:gridCol w:w="1163"/>
        <w:gridCol w:w="944"/>
        <w:gridCol w:w="2872"/>
        <w:gridCol w:w="894"/>
        <w:gridCol w:w="1800"/>
      </w:tblGrid>
      <w:tr>
        <w:tblPrEx>
          <w:tblCellMar>
            <w:top w:w="0" w:type="dxa"/>
            <w:left w:w="51" w:type="dxa"/>
            <w:bottom w:w="0" w:type="dxa"/>
            <w:right w:w="51" w:type="dxa"/>
          </w:tblCellMar>
        </w:tblPrEx>
        <w:trPr>
          <w:trHeight w:val="737" w:hRule="atLeast"/>
          <w:jc w:val="center"/>
        </w:trPr>
        <w:tc>
          <w:tcPr>
            <w:tcW w:w="17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验收组</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姓  名</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单      位</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职务/</w:t>
            </w:r>
          </w:p>
          <w:p>
            <w:pPr>
              <w:snapToGrid w:val="0"/>
              <w:spacing w:before="120" w:beforeLines="50" w:line="240" w:lineRule="atLeast"/>
              <w:jc w:val="center"/>
              <w:rPr>
                <w:sz w:val="22"/>
                <w:szCs w:val="21"/>
              </w:rPr>
            </w:pPr>
            <w:r>
              <w:rPr>
                <w:b/>
                <w:snapToGrid w:val="0"/>
                <w:kern w:val="0"/>
                <w:sz w:val="28"/>
                <w:szCs w:val="28"/>
              </w:rPr>
              <w:t>职称</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签  名</w:t>
            </w:r>
          </w:p>
        </w:tc>
      </w:tr>
      <w:tr>
        <w:tblPrEx>
          <w:tblCellMar>
            <w:top w:w="0" w:type="dxa"/>
            <w:left w:w="51" w:type="dxa"/>
            <w:bottom w:w="0" w:type="dxa"/>
            <w:right w:w="51" w:type="dxa"/>
          </w:tblCellMar>
        </w:tblPrEx>
        <w:trPr>
          <w:trHeight w:val="1035" w:hRule="atLeast"/>
          <w:jc w:val="center"/>
        </w:trPr>
        <w:tc>
          <w:tcPr>
            <w:tcW w:w="608"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组长</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建设单位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ascii="Times New Roman" w:hAnsi="Times New Roman" w:cs="Times New Roman"/>
                <w:snapToGrid w:val="0"/>
                <w:kern w:val="0"/>
                <w:sz w:val="24"/>
                <w:szCs w:val="24"/>
              </w:rPr>
            </w:pPr>
            <w:r>
              <w:rPr>
                <w:rFonts w:hint="eastAsia" w:ascii="Times New Roman" w:hAnsi="Times New Roman" w:cs="Times New Roman"/>
                <w:snapToGrid w:val="0"/>
                <w:kern w:val="0"/>
                <w:sz w:val="24"/>
                <w:szCs w:val="24"/>
              </w:rPr>
              <w:t>常云良</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ascii="Times New Roman" w:hAnsi="Times New Roman" w:cs="Times New Roman"/>
                <w:snapToGrid w:val="0"/>
                <w:kern w:val="0"/>
                <w:sz w:val="24"/>
                <w:szCs w:val="24"/>
                <w:lang w:eastAsia="zh-CN"/>
              </w:rPr>
            </w:pPr>
            <w:r>
              <w:rPr>
                <w:rFonts w:hint="eastAsia" w:cs="Times New Roman"/>
                <w:snapToGrid w:val="0"/>
                <w:kern w:val="0"/>
                <w:sz w:val="24"/>
                <w:szCs w:val="24"/>
                <w:lang w:eastAsia="zh-CN"/>
              </w:rPr>
              <w:t>青岛天龙石墨有限公司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default" w:ascii="Times New Roman" w:hAnsi="Times New Roman" w:eastAsia="宋体" w:cs="Times New Roman"/>
                <w:snapToGrid w:val="0"/>
                <w:kern w:val="0"/>
                <w:sz w:val="24"/>
                <w:szCs w:val="24"/>
                <w:lang w:val="en-US" w:eastAsia="zh-CN"/>
              </w:rPr>
            </w:pPr>
            <w:r>
              <w:rPr>
                <w:rFonts w:hint="eastAsia" w:cs="Times New Roman"/>
                <w:snapToGrid w:val="0"/>
                <w:kern w:val="0"/>
                <w:sz w:val="24"/>
                <w:szCs w:val="24"/>
                <w:lang w:val="en-US" w:eastAsia="zh-CN"/>
              </w:rPr>
              <w:t>法人代表</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58" w:hRule="atLeast"/>
          <w:jc w:val="center"/>
        </w:trPr>
        <w:tc>
          <w:tcPr>
            <w:tcW w:w="608" w:type="dxa"/>
            <w:vMerge w:val="restart"/>
            <w:tcBorders>
              <w:top w:val="single" w:color="auto" w:sz="4" w:space="0"/>
              <w:left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成员</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验收报告编制单位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ascii="Times New Roman" w:hAnsi="Times New Roman" w:cs="Times New Roman"/>
                <w:snapToGrid w:val="0"/>
                <w:kern w:val="0"/>
                <w:sz w:val="24"/>
                <w:szCs w:val="24"/>
              </w:rPr>
            </w:pPr>
            <w:r>
              <w:rPr>
                <w:rFonts w:hint="eastAsia" w:ascii="Times New Roman" w:hAnsi="Times New Roman" w:cs="Times New Roman"/>
                <w:snapToGrid w:val="0"/>
                <w:kern w:val="0"/>
                <w:sz w:val="24"/>
                <w:szCs w:val="24"/>
              </w:rPr>
              <w:t>孙常安</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ascii="Times New Roman" w:hAnsi="Times New Roman" w:cs="Times New Roman"/>
                <w:snapToGrid w:val="0"/>
                <w:kern w:val="0"/>
                <w:sz w:val="24"/>
                <w:szCs w:val="24"/>
                <w:lang w:eastAsia="zh-CN"/>
              </w:rPr>
            </w:pPr>
            <w:r>
              <w:rPr>
                <w:rFonts w:hint="eastAsia" w:cs="Times New Roman"/>
                <w:snapToGrid w:val="0"/>
                <w:kern w:val="0"/>
                <w:sz w:val="24"/>
                <w:szCs w:val="24"/>
                <w:lang w:eastAsia="zh-CN"/>
              </w:rPr>
              <w:t>青岛天龙石墨有限公司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ascii="Times New Roman" w:hAnsi="Times New Roman" w:eastAsia="宋体" w:cs="Times New Roman"/>
                <w:snapToGrid w:val="0"/>
                <w:kern w:val="0"/>
                <w:sz w:val="24"/>
                <w:szCs w:val="24"/>
                <w:lang w:val="en-US" w:eastAsia="zh-CN"/>
              </w:rPr>
            </w:pPr>
            <w:r>
              <w:rPr>
                <w:rFonts w:hint="eastAsia" w:cs="Times New Roman"/>
                <w:snapToGrid w:val="0"/>
                <w:kern w:val="0"/>
                <w:sz w:val="24"/>
                <w:szCs w:val="24"/>
                <w:lang w:val="en-US" w:eastAsia="zh-CN"/>
              </w:rPr>
              <w:t>总经理</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41" w:hRule="atLeast"/>
          <w:jc w:val="center"/>
        </w:trPr>
        <w:tc>
          <w:tcPr>
            <w:tcW w:w="608" w:type="dxa"/>
            <w:vMerge w:val="continue"/>
            <w:tcBorders>
              <w:left w:val="single" w:color="auto" w:sz="4" w:space="0"/>
              <w:right w:val="single" w:color="auto" w:sz="4" w:space="0"/>
            </w:tcBorders>
            <w:vAlign w:val="center"/>
          </w:tcPr>
          <w:p>
            <w:pPr>
              <w:snapToGrid w:val="0"/>
              <w:spacing w:before="120" w:beforeLines="50" w:line="240" w:lineRule="atLeast"/>
              <w:jc w:val="center"/>
            </w:pP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监测单位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4"/>
                <w:szCs w:val="24"/>
              </w:rPr>
            </w:pPr>
            <w:r>
              <w:rPr>
                <w:sz w:val="24"/>
                <w:szCs w:val="24"/>
              </w:rPr>
              <w:t>姜海洋</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napToGrid w:val="0"/>
                <w:kern w:val="0"/>
                <w:sz w:val="24"/>
                <w:szCs w:val="24"/>
              </w:rPr>
            </w:pPr>
            <w:r>
              <w:rPr>
                <w:rFonts w:hint="eastAsia"/>
                <w:snapToGrid w:val="0"/>
                <w:kern w:val="0"/>
                <w:sz w:val="24"/>
                <w:szCs w:val="24"/>
              </w:rPr>
              <w:t>青岛中旭检测检验</w:t>
            </w:r>
          </w:p>
          <w:p>
            <w:pPr>
              <w:snapToGrid w:val="0"/>
              <w:spacing w:before="120" w:beforeLines="50" w:line="240" w:lineRule="atLeast"/>
              <w:jc w:val="center"/>
            </w:pPr>
            <w:r>
              <w:rPr>
                <w:rFonts w:hint="eastAsia"/>
                <w:snapToGrid w:val="0"/>
                <w:kern w:val="0"/>
                <w:sz w:val="24"/>
                <w:szCs w:val="24"/>
              </w:rPr>
              <w:t>有限公司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工程师</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41" w:hRule="atLeast"/>
          <w:jc w:val="center"/>
        </w:trPr>
        <w:tc>
          <w:tcPr>
            <w:tcW w:w="608" w:type="dxa"/>
            <w:vMerge w:val="continue"/>
            <w:tcBorders>
              <w:left w:val="single" w:color="auto" w:sz="4" w:space="0"/>
              <w:right w:val="single" w:color="auto" w:sz="4" w:space="0"/>
            </w:tcBorders>
            <w:vAlign w:val="center"/>
          </w:tcPr>
          <w:p>
            <w:pPr>
              <w:snapToGrid w:val="0"/>
              <w:spacing w:before="120" w:beforeLines="50" w:line="240" w:lineRule="atLeast"/>
              <w:jc w:val="center"/>
            </w:pPr>
          </w:p>
        </w:tc>
        <w:tc>
          <w:tcPr>
            <w:tcW w:w="1163" w:type="dxa"/>
            <w:vMerge w:val="restart"/>
            <w:tcBorders>
              <w:top w:val="single" w:color="auto" w:sz="4" w:space="0"/>
              <w:left w:val="single" w:color="auto" w:sz="4" w:space="0"/>
              <w:right w:val="single" w:color="auto" w:sz="4" w:space="0"/>
            </w:tcBorders>
            <w:vAlign w:val="center"/>
          </w:tcPr>
          <w:p>
            <w:pPr>
              <w:snapToGrid w:val="0"/>
              <w:spacing w:before="120" w:beforeLines="50" w:line="240" w:lineRule="atLeast"/>
              <w:jc w:val="center"/>
              <w:rPr>
                <w:rFonts w:hint="eastAsia" w:eastAsia="宋体"/>
                <w:snapToGrid w:val="0"/>
                <w:kern w:val="0"/>
                <w:sz w:val="24"/>
                <w:szCs w:val="24"/>
                <w:lang w:val="en-US" w:eastAsia="zh-CN"/>
              </w:rPr>
            </w:pPr>
            <w:r>
              <w:rPr>
                <w:rFonts w:hint="eastAsia"/>
                <w:snapToGrid w:val="0"/>
                <w:kern w:val="0"/>
                <w:sz w:val="24"/>
                <w:szCs w:val="24"/>
                <w:lang w:val="en-US" w:eastAsia="zh-CN"/>
              </w:rPr>
              <w:t>专家</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snapToGrid w:val="0"/>
                <w:color w:val="000000"/>
                <w:kern w:val="0"/>
                <w:sz w:val="24"/>
                <w:szCs w:val="24"/>
              </w:rPr>
              <w:t>王 犇</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rFonts w:hint="eastAsia"/>
                <w:snapToGrid w:val="0"/>
                <w:kern w:val="0"/>
                <w:sz w:val="24"/>
                <w:szCs w:val="24"/>
              </w:rPr>
            </w:pPr>
            <w:r>
              <w:rPr>
                <w:snapToGrid w:val="0"/>
                <w:color w:val="000000"/>
                <w:kern w:val="0"/>
                <w:sz w:val="24"/>
                <w:szCs w:val="24"/>
              </w:rPr>
              <w:t>青岛科技大学</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rPr>
            </w:pPr>
            <w:r>
              <w:rPr>
                <w:snapToGrid w:val="0"/>
                <w:color w:val="000000"/>
                <w:kern w:val="0"/>
                <w:sz w:val="24"/>
                <w:szCs w:val="24"/>
              </w:rPr>
              <w:t>教 授</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41" w:hRule="atLeast"/>
          <w:jc w:val="center"/>
        </w:trPr>
        <w:tc>
          <w:tcPr>
            <w:tcW w:w="608" w:type="dxa"/>
            <w:vMerge w:val="continue"/>
            <w:tcBorders>
              <w:left w:val="single" w:color="auto" w:sz="4" w:space="0"/>
              <w:bottom w:val="single" w:color="auto" w:sz="4" w:space="0"/>
              <w:right w:val="single" w:color="auto" w:sz="4" w:space="0"/>
            </w:tcBorders>
            <w:vAlign w:val="center"/>
          </w:tcPr>
          <w:p>
            <w:pPr>
              <w:snapToGrid w:val="0"/>
              <w:spacing w:before="120" w:beforeLines="50" w:line="240" w:lineRule="atLeast"/>
              <w:jc w:val="center"/>
            </w:pPr>
          </w:p>
        </w:tc>
        <w:tc>
          <w:tcPr>
            <w:tcW w:w="1163" w:type="dxa"/>
            <w:vMerge w:val="continue"/>
            <w:tcBorders>
              <w:left w:val="single" w:color="auto" w:sz="4" w:space="0"/>
              <w:bottom w:val="single" w:color="auto" w:sz="4" w:space="0"/>
              <w:right w:val="single" w:color="auto" w:sz="4" w:space="0"/>
            </w:tcBorders>
            <w:vAlign w:val="center"/>
          </w:tcPr>
          <w:p>
            <w:pPr>
              <w:snapToGrid w:val="0"/>
              <w:spacing w:before="120" w:beforeLines="50" w:line="240" w:lineRule="atLeast"/>
              <w:jc w:val="center"/>
              <w:rPr>
                <w:snapToGrid w:val="0"/>
                <w:kern w:val="0"/>
                <w:sz w:val="24"/>
                <w:szCs w:val="24"/>
              </w:rPr>
            </w:pP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z w:val="24"/>
                <w:szCs w:val="24"/>
              </w:rPr>
            </w:pPr>
            <w:r>
              <w:rPr>
                <w:snapToGrid w:val="0"/>
                <w:color w:val="000000"/>
                <w:kern w:val="0"/>
                <w:sz w:val="24"/>
                <w:szCs w:val="24"/>
              </w:rPr>
              <w:t>谢洪波</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rFonts w:hint="eastAsia"/>
                <w:snapToGrid w:val="0"/>
                <w:kern w:val="0"/>
                <w:sz w:val="24"/>
                <w:szCs w:val="24"/>
              </w:rPr>
            </w:pPr>
            <w:r>
              <w:rPr>
                <w:snapToGrid w:val="0"/>
                <w:color w:val="000000"/>
                <w:kern w:val="0"/>
                <w:sz w:val="24"/>
                <w:szCs w:val="24"/>
              </w:rPr>
              <w:t>青岛大学</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76" w:lineRule="auto"/>
              <w:jc w:val="center"/>
              <w:rPr>
                <w:snapToGrid w:val="0"/>
                <w:kern w:val="0"/>
                <w:sz w:val="24"/>
                <w:szCs w:val="24"/>
              </w:rPr>
            </w:pPr>
            <w:r>
              <w:rPr>
                <w:snapToGrid w:val="0"/>
                <w:color w:val="000000"/>
                <w:kern w:val="0"/>
                <w:sz w:val="24"/>
                <w:szCs w:val="24"/>
              </w:rPr>
              <w:t>教 授</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bl>
    <w:p>
      <w:pPr>
        <w:spacing w:line="276" w:lineRule="auto"/>
        <w:ind w:firstLine="420" w:firstLineChars="200"/>
      </w:pPr>
    </w:p>
    <w:p>
      <w:pPr>
        <w:spacing w:line="276" w:lineRule="auto"/>
        <w:ind w:firstLine="480" w:firstLineChars="200"/>
        <w:jc w:val="right"/>
        <w:rPr>
          <w:sz w:val="24"/>
        </w:rPr>
      </w:pPr>
      <w:r>
        <w:rPr>
          <w:sz w:val="24"/>
        </w:rPr>
        <w:t>202</w:t>
      </w:r>
      <w:r>
        <w:rPr>
          <w:rFonts w:hint="eastAsia"/>
          <w:sz w:val="24"/>
          <w:lang w:val="en-US" w:eastAsia="zh-CN"/>
        </w:rPr>
        <w:t>1</w:t>
      </w:r>
      <w:r>
        <w:rPr>
          <w:sz w:val="24"/>
        </w:rPr>
        <w:t>年</w:t>
      </w:r>
      <w:r>
        <w:rPr>
          <w:rFonts w:hint="eastAsia"/>
          <w:sz w:val="24"/>
        </w:rPr>
        <w:t>1</w:t>
      </w:r>
      <w:r>
        <w:rPr>
          <w:sz w:val="24"/>
        </w:rPr>
        <w:t>月</w:t>
      </w:r>
      <w:r>
        <w:rPr>
          <w:rFonts w:hint="eastAsia"/>
          <w:sz w:val="24"/>
          <w:lang w:val="en-US" w:eastAsia="zh-CN"/>
        </w:rPr>
        <w:t>24</w:t>
      </w:r>
      <w:r>
        <w:rPr>
          <w:sz w:val="24"/>
        </w:rPr>
        <w:t>日</w:t>
      </w:r>
    </w:p>
    <w:sectPr>
      <w:pgSz w:w="11906" w:h="16838"/>
      <w:pgMar w:top="1440" w:right="1797" w:bottom="1440" w:left="1797" w:header="709" w:footer="709"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28F55F"/>
    <w:multiLevelType w:val="singleLevel"/>
    <w:tmpl w:val="C728F55F"/>
    <w:lvl w:ilvl="0" w:tentative="0">
      <w:start w:val="1"/>
      <w:numFmt w:val="bullet"/>
      <w:pStyle w:val="8"/>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D73"/>
    <w:rsid w:val="002A1E46"/>
    <w:rsid w:val="00561D73"/>
    <w:rsid w:val="00613EA2"/>
    <w:rsid w:val="006D2E8F"/>
    <w:rsid w:val="0087455C"/>
    <w:rsid w:val="00BB467F"/>
    <w:rsid w:val="05565C28"/>
    <w:rsid w:val="16CC67E9"/>
    <w:rsid w:val="1D0950A4"/>
    <w:rsid w:val="23083941"/>
    <w:rsid w:val="25C452D6"/>
    <w:rsid w:val="27270582"/>
    <w:rsid w:val="27FF7D79"/>
    <w:rsid w:val="2CFB5756"/>
    <w:rsid w:val="405B77B4"/>
    <w:rsid w:val="42880611"/>
    <w:rsid w:val="53EB629C"/>
    <w:rsid w:val="5FF77E86"/>
    <w:rsid w:val="72F11E17"/>
    <w:rsid w:val="7B4616D9"/>
    <w:rsid w:val="7F096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3">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Body Text First Indent 2"/>
    <w:basedOn w:val="4"/>
    <w:next w:val="2"/>
    <w:unhideWhenUsed/>
    <w:qFormat/>
    <w:uiPriority w:val="0"/>
    <w:pPr>
      <w:ind w:left="200" w:leftChars="200" w:firstLine="200" w:firstLineChars="200"/>
    </w:pPr>
  </w:style>
  <w:style w:type="paragraph" w:styleId="4">
    <w:name w:val="Body Text Indent"/>
    <w:basedOn w:val="1"/>
    <w:next w:val="5"/>
    <w:qFormat/>
    <w:uiPriority w:val="0"/>
    <w:pPr>
      <w:spacing w:after="120"/>
      <w:ind w:left="420"/>
    </w:pPr>
  </w:style>
  <w:style w:type="paragraph" w:styleId="5">
    <w:name w:val="Body Text First Indent"/>
    <w:basedOn w:val="6"/>
    <w:next w:val="1"/>
    <w:link w:val="19"/>
    <w:qFormat/>
    <w:uiPriority w:val="99"/>
    <w:pPr>
      <w:ind w:firstLine="420" w:firstLineChars="100"/>
    </w:pPr>
    <w:rPr>
      <w:szCs w:val="21"/>
    </w:rPr>
  </w:style>
  <w:style w:type="paragraph" w:styleId="6">
    <w:name w:val="Body Text"/>
    <w:basedOn w:val="1"/>
    <w:next w:val="1"/>
    <w:link w:val="18"/>
    <w:qFormat/>
    <w:uiPriority w:val="99"/>
    <w:pPr>
      <w:spacing w:after="120"/>
    </w:pPr>
  </w:style>
  <w:style w:type="paragraph" w:styleId="7">
    <w:name w:val="annotation text"/>
    <w:basedOn w:val="1"/>
    <w:link w:val="20"/>
    <w:qFormat/>
    <w:uiPriority w:val="0"/>
    <w:pPr>
      <w:jc w:val="left"/>
    </w:pPr>
  </w:style>
  <w:style w:type="paragraph" w:styleId="8">
    <w:name w:val="List Bullet 5"/>
    <w:basedOn w:val="1"/>
    <w:semiHidden/>
    <w:unhideWhenUsed/>
    <w:qFormat/>
    <w:uiPriority w:val="99"/>
    <w:pPr>
      <w:numPr>
        <w:ilvl w:val="0"/>
        <w:numId w:val="1"/>
      </w:numPr>
    </w:pPr>
  </w:style>
  <w:style w:type="paragraph" w:styleId="9">
    <w:name w:val="Balloon Text"/>
    <w:basedOn w:val="1"/>
    <w:link w:val="21"/>
    <w:uiPriority w:val="99"/>
    <w:rPr>
      <w:sz w:val="18"/>
      <w:szCs w:val="18"/>
    </w:rPr>
  </w:style>
  <w:style w:type="paragraph" w:styleId="10">
    <w:name w:val="footer"/>
    <w:basedOn w:val="1"/>
    <w:link w:val="16"/>
    <w:qFormat/>
    <w:uiPriority w:val="99"/>
    <w:pPr>
      <w:tabs>
        <w:tab w:val="center" w:pos="4153"/>
        <w:tab w:val="right" w:pos="8306"/>
      </w:tabs>
      <w:snapToGrid w:val="0"/>
      <w:jc w:val="left"/>
    </w:pPr>
    <w:rPr>
      <w:rFonts w:ascii="Calibri" w:hAnsi="Calibri" w:cs="宋体"/>
      <w:sz w:val="18"/>
      <w:szCs w:val="18"/>
    </w:rPr>
  </w:style>
  <w:style w:type="paragraph" w:styleId="11">
    <w:name w:val="header"/>
    <w:basedOn w:val="1"/>
    <w:link w:val="15"/>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character" w:styleId="14">
    <w:name w:val="annotation reference"/>
    <w:qFormat/>
    <w:uiPriority w:val="99"/>
    <w:rPr>
      <w:sz w:val="21"/>
      <w:szCs w:val="21"/>
    </w:rPr>
  </w:style>
  <w:style w:type="character" w:customStyle="1" w:styleId="15">
    <w:name w:val="页眉 Char"/>
    <w:basedOn w:val="13"/>
    <w:link w:val="11"/>
    <w:qFormat/>
    <w:uiPriority w:val="99"/>
    <w:rPr>
      <w:sz w:val="18"/>
      <w:szCs w:val="18"/>
    </w:rPr>
  </w:style>
  <w:style w:type="character" w:customStyle="1" w:styleId="16">
    <w:name w:val="页脚 Char"/>
    <w:basedOn w:val="13"/>
    <w:link w:val="10"/>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正文文本 Char"/>
    <w:basedOn w:val="13"/>
    <w:link w:val="6"/>
    <w:qFormat/>
    <w:uiPriority w:val="99"/>
    <w:rPr>
      <w:rFonts w:ascii="Times New Roman" w:hAnsi="Times New Roman" w:eastAsia="宋体" w:cs="Times New Roman"/>
      <w:szCs w:val="20"/>
    </w:rPr>
  </w:style>
  <w:style w:type="character" w:customStyle="1" w:styleId="19">
    <w:name w:val="正文首行缩进 Char"/>
    <w:basedOn w:val="18"/>
    <w:link w:val="5"/>
    <w:qFormat/>
    <w:uiPriority w:val="99"/>
    <w:rPr>
      <w:rFonts w:ascii="Times New Roman" w:hAnsi="Times New Roman" w:eastAsia="宋体" w:cs="Times New Roman"/>
      <w:szCs w:val="21"/>
    </w:rPr>
  </w:style>
  <w:style w:type="character" w:customStyle="1" w:styleId="20">
    <w:name w:val="批注文字 Char"/>
    <w:basedOn w:val="13"/>
    <w:link w:val="7"/>
    <w:qFormat/>
    <w:uiPriority w:val="0"/>
    <w:rPr>
      <w:rFonts w:ascii="Times New Roman" w:hAnsi="Times New Roman" w:eastAsia="宋体" w:cs="Times New Roman"/>
      <w:szCs w:val="20"/>
    </w:rPr>
  </w:style>
  <w:style w:type="character" w:customStyle="1" w:styleId="21">
    <w:name w:val="批注框文本 Char"/>
    <w:basedOn w:val="13"/>
    <w:link w:val="9"/>
    <w:qFormat/>
    <w:uiPriority w:val="99"/>
    <w:rPr>
      <w:rFonts w:ascii="Times New Roman" w:hAnsi="Times New Roman" w:eastAsia="宋体" w:cs="Times New Roman"/>
      <w:sz w:val="18"/>
      <w:szCs w:val="18"/>
    </w:rPr>
  </w:style>
  <w:style w:type="paragraph" w:customStyle="1" w:styleId="22">
    <w:name w:val="文字描述"/>
    <w:basedOn w:val="1"/>
    <w:qFormat/>
    <w:uiPriority w:val="0"/>
    <w:pPr>
      <w:adjustRightInd w:val="0"/>
      <w:snapToGrid w:val="0"/>
      <w:spacing w:line="360" w:lineRule="auto"/>
      <w:ind w:firstLine="200" w:firstLineChars="200"/>
    </w:pPr>
    <w:rPr>
      <w:rFonts w:eastAsia="仿宋_GB2312"/>
      <w:spacing w:val="-2"/>
      <w:sz w:val="28"/>
      <w:szCs w:val="24"/>
    </w:rPr>
  </w:style>
  <w:style w:type="paragraph" w:customStyle="1" w:styleId="23">
    <w:name w:val="表、图标题"/>
    <w:qFormat/>
    <w:uiPriority w:val="0"/>
    <w:pPr>
      <w:widowControl w:val="0"/>
      <w:adjustRightInd w:val="0"/>
      <w:snapToGrid w:val="0"/>
      <w:jc w:val="center"/>
    </w:pPr>
    <w:rPr>
      <w:rFonts w:ascii="Times New Roman" w:hAnsi="Times New Roman" w:eastAsia="仿宋_GB2312" w:cs="Times New Roman"/>
      <w:b/>
      <w:bCs/>
      <w:kern w:val="0"/>
      <w:sz w:val="24"/>
      <w:szCs w:val="18"/>
      <w:lang w:val="en-US" w:eastAsia="zh-CN" w:bidi="ar-SA"/>
    </w:rPr>
  </w:style>
  <w:style w:type="paragraph" w:customStyle="1" w:styleId="24">
    <w:name w:val="表格"/>
    <w:qFormat/>
    <w:uiPriority w:val="0"/>
    <w:pPr>
      <w:widowControl w:val="0"/>
      <w:snapToGrid w:val="0"/>
      <w:jc w:val="center"/>
    </w:pPr>
    <w:rPr>
      <w:rFonts w:ascii="Times New Roman" w:hAnsi="Times New Roman" w:eastAsia="仿宋_GB2312"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336</Words>
  <Characters>1917</Characters>
  <Lines>15</Lines>
  <Paragraphs>4</Paragraphs>
  <TotalTime>1</TotalTime>
  <ScaleCrop>false</ScaleCrop>
  <LinksUpToDate>false</LinksUpToDate>
  <CharactersWithSpaces>2249</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dcterms:modified xsi:type="dcterms:W3CDTF">2021-01-25T15:24:27Z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