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rPr>
          <w:rFonts w:hint="eastAsia" w:ascii="Times New Roman" w:hAnsi="Times New Roman" w:eastAsia="宋体" w:cs="Times New Roman"/>
          <w:b/>
          <w:bCs/>
          <w:snapToGrid w:val="0"/>
          <w:kern w:val="0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</w:rPr>
        <w:t>青岛殖富园机械有限公司</w:t>
      </w:r>
    </w:p>
    <w:p>
      <w:pPr>
        <w:pStyle w:val="19"/>
        <w:rPr>
          <w:rFonts w:hint="eastAsia" w:ascii="Times New Roman" w:hAnsi="Times New Roman" w:eastAsia="宋体" w:cs="Times New Roman"/>
          <w:b/>
          <w:bCs/>
          <w:snapToGrid w:val="0"/>
          <w:kern w:val="0"/>
        </w:rPr>
      </w:pPr>
      <w:r>
        <w:rPr>
          <w:rFonts w:hint="eastAsia" w:ascii="Times New Roman" w:hAnsi="Times New Roman" w:eastAsia="宋体" w:cs="Times New Roman"/>
          <w:b/>
          <w:bCs/>
          <w:snapToGrid w:val="0"/>
          <w:kern w:val="0"/>
        </w:rPr>
        <w:t>常压锅炉制作项目</w:t>
      </w:r>
    </w:p>
    <w:p>
      <w:pPr>
        <w:pStyle w:val="19"/>
        <w:rPr>
          <w:rFonts w:ascii="Times New Roman" w:hAnsi="Times New Roman" w:eastAsia="宋体" w:cs="Times New Roman"/>
          <w:b/>
          <w:bCs/>
          <w:snapToGrid w:val="0"/>
          <w:kern w:val="0"/>
          <w:lang w:val="zh-TW"/>
        </w:rPr>
      </w:pPr>
      <w:r>
        <w:rPr>
          <w:rFonts w:ascii="Times New Roman" w:hAnsi="Times New Roman" w:eastAsia="宋体" w:cs="Times New Roman"/>
          <w:b/>
          <w:bCs/>
          <w:snapToGrid w:val="0"/>
          <w:kern w:val="0"/>
        </w:rPr>
        <w:t>竣工环境保护验收意见</w:t>
      </w:r>
    </w:p>
    <w:p>
      <w:pPr>
        <w:adjustRightInd w:val="0"/>
        <w:snapToGrid w:val="0"/>
        <w:ind w:firstLine="607"/>
        <w:jc w:val="left"/>
        <w:rPr>
          <w:snapToGrid w:val="0"/>
          <w:kern w:val="0"/>
          <w:sz w:val="28"/>
          <w:szCs w:val="28"/>
        </w:rPr>
      </w:pP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20</w:t>
      </w:r>
      <w:r>
        <w:rPr>
          <w:rFonts w:hint="eastAsia"/>
          <w:snapToGrid w:val="0"/>
          <w:kern w:val="0"/>
          <w:sz w:val="28"/>
          <w:szCs w:val="28"/>
        </w:rPr>
        <w:t>20</w:t>
      </w:r>
      <w:r>
        <w:rPr>
          <w:snapToGrid w:val="0"/>
          <w:kern w:val="0"/>
          <w:sz w:val="28"/>
          <w:szCs w:val="28"/>
        </w:rPr>
        <w:t>年</w:t>
      </w:r>
      <w:r>
        <w:rPr>
          <w:rFonts w:hint="eastAsia"/>
          <w:snapToGrid w:val="0"/>
          <w:kern w:val="0"/>
          <w:sz w:val="28"/>
          <w:szCs w:val="28"/>
          <w:lang w:val="en-US" w:eastAsia="zh-CN"/>
        </w:rPr>
        <w:t>6</w:t>
      </w:r>
      <w:r>
        <w:rPr>
          <w:snapToGrid w:val="0"/>
          <w:kern w:val="0"/>
          <w:sz w:val="28"/>
          <w:szCs w:val="28"/>
        </w:rPr>
        <w:t>月</w:t>
      </w:r>
      <w:r>
        <w:rPr>
          <w:rFonts w:hint="eastAsia"/>
          <w:snapToGrid w:val="0"/>
          <w:kern w:val="0"/>
          <w:sz w:val="28"/>
          <w:szCs w:val="28"/>
          <w:lang w:val="en-US" w:eastAsia="zh-CN"/>
        </w:rPr>
        <w:t>15</w:t>
      </w:r>
      <w:r>
        <w:rPr>
          <w:snapToGrid w:val="0"/>
          <w:kern w:val="0"/>
          <w:sz w:val="28"/>
          <w:szCs w:val="28"/>
        </w:rPr>
        <w:t>日，青岛殖富园机械有限公司根据</w:t>
      </w:r>
      <w:r>
        <w:rPr>
          <w:rFonts w:hint="eastAsia"/>
          <w:snapToGrid w:val="0"/>
          <w:kern w:val="0"/>
          <w:sz w:val="28"/>
          <w:szCs w:val="28"/>
        </w:rPr>
        <w:t>“</w:t>
      </w:r>
      <w:r>
        <w:rPr>
          <w:snapToGrid w:val="0"/>
          <w:kern w:val="0"/>
          <w:sz w:val="28"/>
          <w:szCs w:val="28"/>
        </w:rPr>
        <w:t>常压锅炉制作项目</w:t>
      </w:r>
      <w:r>
        <w:rPr>
          <w:rFonts w:hint="eastAsia"/>
          <w:snapToGrid w:val="0"/>
          <w:kern w:val="0"/>
          <w:sz w:val="28"/>
          <w:szCs w:val="28"/>
        </w:rPr>
        <w:t>”</w:t>
      </w:r>
      <w:r>
        <w:rPr>
          <w:snapToGrid w:val="0"/>
          <w:kern w:val="0"/>
          <w:sz w:val="28"/>
          <w:szCs w:val="28"/>
        </w:rPr>
        <w:t>竣工环境保护验收监测报告，并对照《建设项目竣工环境保护验收暂行办法》，严格依照国家有关法律法规、建设项目竣工环境保护验收技术规范/指南、本项目</w:t>
      </w:r>
      <w:r>
        <w:rPr>
          <w:snapToGrid w:val="0"/>
          <w:sz w:val="28"/>
          <w:szCs w:val="28"/>
        </w:rPr>
        <w:t>环境影响</w:t>
      </w:r>
      <w:r>
        <w:rPr>
          <w:snapToGrid w:val="0"/>
          <w:kern w:val="0"/>
          <w:sz w:val="28"/>
          <w:szCs w:val="28"/>
        </w:rPr>
        <w:t>报告</w:t>
      </w:r>
      <w:r>
        <w:rPr>
          <w:rFonts w:hint="eastAsia"/>
          <w:snapToGrid w:val="0"/>
          <w:kern w:val="0"/>
          <w:sz w:val="28"/>
          <w:szCs w:val="28"/>
        </w:rPr>
        <w:t>表</w:t>
      </w:r>
      <w:r>
        <w:rPr>
          <w:snapToGrid w:val="0"/>
          <w:kern w:val="0"/>
          <w:sz w:val="28"/>
          <w:szCs w:val="28"/>
        </w:rPr>
        <w:t>和审批部门审批决定等要求，对本项目进行验收，</w:t>
      </w:r>
      <w:r>
        <w:rPr>
          <w:rFonts w:hint="eastAsia"/>
          <w:snapToGrid w:val="0"/>
          <w:kern w:val="0"/>
          <w:sz w:val="28"/>
          <w:szCs w:val="28"/>
        </w:rPr>
        <w:t>形成</w:t>
      </w:r>
      <w:r>
        <w:rPr>
          <w:snapToGrid w:val="0"/>
          <w:kern w:val="0"/>
          <w:sz w:val="28"/>
          <w:szCs w:val="28"/>
        </w:rPr>
        <w:t>意见如下：</w:t>
      </w:r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一、项目基本情况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（一）建设地点、规模、主要建设内容</w:t>
      </w:r>
    </w:p>
    <w:p>
      <w:pPr>
        <w:pStyle w:val="21"/>
        <w:spacing w:after="0"/>
        <w:ind w:firstLine="786" w:firstLineChars="200"/>
        <w:jc w:val="left"/>
        <w:rPr>
          <w:bCs/>
          <w:snapToGrid w:val="0"/>
          <w:kern w:val="0"/>
          <w:sz w:val="28"/>
          <w:szCs w:val="28"/>
        </w:rPr>
      </w:pPr>
      <w:r>
        <w:rPr>
          <w:bCs/>
          <w:snapToGrid w:val="0"/>
          <w:kern w:val="0"/>
          <w:sz w:val="28"/>
          <w:szCs w:val="28"/>
        </w:rPr>
        <w:t>青岛殖富园机械有限公司</w:t>
      </w:r>
      <w:r>
        <w:rPr>
          <w:rFonts w:hint="eastAsia"/>
          <w:bCs/>
          <w:snapToGrid w:val="0"/>
          <w:kern w:val="0"/>
          <w:sz w:val="28"/>
          <w:szCs w:val="28"/>
        </w:rPr>
        <w:t>常压锅炉制作项目位于青岛平度市东阁街道办事处上李元村</w:t>
      </w:r>
      <w:r>
        <w:rPr>
          <w:bCs/>
          <w:snapToGrid w:val="0"/>
          <w:kern w:val="0"/>
          <w:sz w:val="28"/>
          <w:szCs w:val="28"/>
        </w:rPr>
        <w:t>。</w:t>
      </w:r>
      <w:r>
        <w:rPr>
          <w:rFonts w:hint="eastAsia"/>
          <w:bCs/>
          <w:snapToGrid w:val="0"/>
          <w:kern w:val="0"/>
          <w:sz w:val="28"/>
          <w:szCs w:val="28"/>
        </w:rPr>
        <w:t>企业租赁上李元</w:t>
      </w:r>
      <w:r>
        <w:rPr>
          <w:rFonts w:hint="eastAsia"/>
          <w:snapToGrid w:val="0"/>
          <w:kern w:val="0"/>
          <w:sz w:val="28"/>
          <w:szCs w:val="28"/>
        </w:rPr>
        <w:t>石料</w:t>
      </w:r>
      <w:r>
        <w:rPr>
          <w:rFonts w:hint="eastAsia"/>
          <w:bCs/>
          <w:snapToGrid w:val="0"/>
          <w:kern w:val="0"/>
          <w:sz w:val="28"/>
          <w:szCs w:val="28"/>
        </w:rPr>
        <w:t>厂闲置厂房，总投资100万元，占地面积2400平方米，建筑面积1800平方米，劳动定员30人，实行一班制生产， 8小时，年工作300天，主要从事常压锅炉制作，年产600台0.5吨常压锅炉。生产工艺：原料→切割→折弯→焊接→灌水试压→包装。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（二）建设</w:t>
      </w:r>
      <w:r>
        <w:rPr>
          <w:snapToGrid w:val="0"/>
          <w:kern w:val="0"/>
          <w:sz w:val="28"/>
          <w:szCs w:val="28"/>
        </w:rPr>
        <w:t>过程</w:t>
      </w:r>
      <w:r>
        <w:rPr>
          <w:snapToGrid w:val="0"/>
          <w:sz w:val="28"/>
          <w:szCs w:val="28"/>
        </w:rPr>
        <w:t>及</w:t>
      </w:r>
      <w:r>
        <w:rPr>
          <w:snapToGrid w:val="0"/>
          <w:kern w:val="0"/>
          <w:sz w:val="28"/>
          <w:szCs w:val="28"/>
        </w:rPr>
        <w:t>环保</w:t>
      </w:r>
      <w:r>
        <w:rPr>
          <w:snapToGrid w:val="0"/>
          <w:sz w:val="28"/>
          <w:szCs w:val="28"/>
        </w:rPr>
        <w:t>审批情况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项目于2019年5月建设完成。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2019年9月，受企</w:t>
      </w:r>
      <w:r>
        <w:rPr>
          <w:snapToGrid w:val="0"/>
          <w:kern w:val="0"/>
          <w:sz w:val="28"/>
          <w:szCs w:val="28"/>
        </w:rPr>
        <w:t>业委托，</w:t>
      </w:r>
      <w:r>
        <w:rPr>
          <w:rFonts w:hint="eastAsia"/>
          <w:snapToGrid w:val="0"/>
          <w:kern w:val="0"/>
          <w:sz w:val="28"/>
          <w:szCs w:val="28"/>
        </w:rPr>
        <w:t>重庆九天环境影响评价有限公司</w:t>
      </w:r>
      <w:r>
        <w:rPr>
          <w:snapToGrid w:val="0"/>
          <w:kern w:val="0"/>
          <w:sz w:val="28"/>
          <w:szCs w:val="28"/>
        </w:rPr>
        <w:t>对项目进行了环境影响评价，编制完成了《青岛殖富园机械有限公司</w:t>
      </w:r>
      <w:r>
        <w:rPr>
          <w:rFonts w:hint="eastAsia"/>
          <w:snapToGrid w:val="0"/>
          <w:kern w:val="0"/>
          <w:sz w:val="28"/>
          <w:szCs w:val="28"/>
        </w:rPr>
        <w:t>常压锅炉制作项目环境影响报告表》</w:t>
      </w:r>
      <w:r>
        <w:rPr>
          <w:snapToGrid w:val="0"/>
          <w:kern w:val="0"/>
          <w:sz w:val="28"/>
          <w:szCs w:val="28"/>
        </w:rPr>
        <w:t>。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2019年</w:t>
      </w:r>
      <w:r>
        <w:rPr>
          <w:rFonts w:hint="eastAsia"/>
          <w:snapToGrid w:val="0"/>
          <w:kern w:val="0"/>
          <w:sz w:val="28"/>
          <w:szCs w:val="28"/>
        </w:rPr>
        <w:t>11</w:t>
      </w:r>
      <w:r>
        <w:rPr>
          <w:snapToGrid w:val="0"/>
          <w:kern w:val="0"/>
          <w:sz w:val="28"/>
          <w:szCs w:val="28"/>
        </w:rPr>
        <w:t>月</w:t>
      </w:r>
      <w:r>
        <w:rPr>
          <w:rFonts w:hint="eastAsia"/>
          <w:snapToGrid w:val="0"/>
          <w:kern w:val="0"/>
          <w:sz w:val="28"/>
          <w:szCs w:val="28"/>
        </w:rPr>
        <w:t>14</w:t>
      </w:r>
      <w:r>
        <w:rPr>
          <w:snapToGrid w:val="0"/>
          <w:kern w:val="0"/>
          <w:sz w:val="28"/>
          <w:szCs w:val="28"/>
        </w:rPr>
        <w:t>日，青岛市生态环境局平度分局以平环审﹝2019﹞</w:t>
      </w:r>
      <w:r>
        <w:rPr>
          <w:rFonts w:hint="eastAsia"/>
          <w:snapToGrid w:val="0"/>
          <w:kern w:val="0"/>
          <w:sz w:val="28"/>
          <w:szCs w:val="28"/>
        </w:rPr>
        <w:t>288</w:t>
      </w:r>
      <w:r>
        <w:rPr>
          <w:snapToGrid w:val="0"/>
          <w:kern w:val="0"/>
          <w:sz w:val="28"/>
          <w:szCs w:val="28"/>
        </w:rPr>
        <w:t>号文件对项目环境影响报告表进行了批复。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（三）投资情况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rFonts w:hint="eastAsia"/>
          <w:snapToGrid w:val="0"/>
          <w:sz w:val="28"/>
          <w:szCs w:val="28"/>
        </w:rPr>
        <w:t>项目总投资100万元，其中环保投资8万元，环保投资占</w:t>
      </w:r>
      <w:r>
        <w:rPr>
          <w:rFonts w:hint="eastAsia"/>
          <w:bCs/>
          <w:snapToGrid w:val="0"/>
          <w:kern w:val="0"/>
          <w:sz w:val="28"/>
          <w:szCs w:val="28"/>
        </w:rPr>
        <w:t>项目</w:t>
      </w:r>
      <w:r>
        <w:rPr>
          <w:rFonts w:hint="eastAsia"/>
          <w:snapToGrid w:val="0"/>
          <w:sz w:val="28"/>
          <w:szCs w:val="28"/>
        </w:rPr>
        <w:t>总投资8.0%。</w:t>
      </w:r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二、项目变动情况</w:t>
      </w:r>
    </w:p>
    <w:p>
      <w:pPr>
        <w:pStyle w:val="21"/>
        <w:spacing w:after="0"/>
        <w:ind w:firstLine="786" w:firstLineChars="200"/>
        <w:jc w:val="left"/>
        <w:rPr>
          <w:rFonts w:hint="default" w:eastAsia="宋体"/>
          <w:lang w:val="en-US" w:eastAsia="zh-CN"/>
        </w:rPr>
      </w:pPr>
      <w:r>
        <w:rPr>
          <w:rFonts w:hint="eastAsia"/>
          <w:snapToGrid w:val="0"/>
          <w:sz w:val="28"/>
          <w:szCs w:val="28"/>
        </w:rPr>
        <w:t>暂未编制突发环境事件应急预案</w:t>
      </w:r>
      <w:r>
        <w:rPr>
          <w:rFonts w:hint="eastAsia"/>
          <w:snapToGrid w:val="0"/>
          <w:sz w:val="28"/>
          <w:szCs w:val="28"/>
          <w:lang w:eastAsia="zh-CN"/>
        </w:rPr>
        <w:t>；</w:t>
      </w:r>
      <w:r>
        <w:rPr>
          <w:rFonts w:hint="eastAsia"/>
          <w:snapToGrid w:val="0"/>
          <w:sz w:val="28"/>
          <w:szCs w:val="28"/>
          <w:lang w:val="en-US" w:eastAsia="zh-CN"/>
        </w:rPr>
        <w:t>废水外排改为定期清掏堆肥，不外排。</w:t>
      </w:r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三、环境保护设施建设情况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（一）</w:t>
      </w:r>
      <w:r>
        <w:rPr>
          <w:snapToGrid w:val="0"/>
          <w:sz w:val="28"/>
          <w:szCs w:val="28"/>
        </w:rPr>
        <w:t>废水</w:t>
      </w:r>
    </w:p>
    <w:p>
      <w:pPr>
        <w:pStyle w:val="21"/>
        <w:spacing w:after="0"/>
        <w:ind w:firstLine="786" w:firstLineChars="200"/>
        <w:jc w:val="left"/>
        <w:rPr>
          <w:rFonts w:hint="eastAsia"/>
          <w:snapToGrid w:val="0"/>
          <w:kern w:val="0"/>
          <w:sz w:val="28"/>
          <w:szCs w:val="28"/>
          <w:lang w:val="zh-TW"/>
        </w:rPr>
      </w:pPr>
      <w:r>
        <w:rPr>
          <w:rFonts w:hint="eastAsia"/>
          <w:snapToGrid w:val="0"/>
          <w:kern w:val="0"/>
          <w:sz w:val="28"/>
          <w:szCs w:val="28"/>
          <w:lang w:val="zh-TW"/>
        </w:rPr>
        <w:t>项目废水主要为锅炉试压水和职工生活产生的生活污水，锅炉试压水循环利用不外排；生活污水暂存旱厕，定期清掏堆肥。旱厕已经防渗处理，防止废水渗漏。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（二）废气</w:t>
      </w:r>
    </w:p>
    <w:p>
      <w:pPr>
        <w:pStyle w:val="21"/>
        <w:spacing w:after="0"/>
        <w:ind w:firstLine="786" w:firstLineChars="200"/>
        <w:jc w:val="left"/>
        <w:rPr>
          <w:rFonts w:hint="eastAsia"/>
          <w:snapToGrid w:val="0"/>
          <w:sz w:val="28"/>
          <w:szCs w:val="28"/>
        </w:rPr>
      </w:pPr>
      <w:r>
        <w:rPr>
          <w:rFonts w:hint="eastAsia"/>
          <w:snapToGrid w:val="0"/>
          <w:sz w:val="28"/>
          <w:szCs w:val="28"/>
        </w:rPr>
        <w:t>焊接工艺产生的烟尘经集气罩收集后，通过一套“脉冲布袋除尘器”处理后，通过1根高度为15米的排气筒P1排放；项目无组织废气主要为焊接工序未被收集的粉尘车间内无组织排放，企业通过加强生产管理，密闭生产过程车间，来降低无组织废气的排放。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（三）</w:t>
      </w:r>
      <w:r>
        <w:rPr>
          <w:snapToGrid w:val="0"/>
          <w:kern w:val="0"/>
          <w:sz w:val="28"/>
          <w:szCs w:val="28"/>
        </w:rPr>
        <w:t>噪声</w:t>
      </w:r>
    </w:p>
    <w:p>
      <w:pPr>
        <w:pStyle w:val="21"/>
        <w:spacing w:after="0"/>
        <w:ind w:firstLine="786" w:firstLineChars="200"/>
        <w:jc w:val="left"/>
        <w:rPr>
          <w:rFonts w:hint="eastAsia"/>
          <w:snapToGrid w:val="0"/>
          <w:sz w:val="28"/>
          <w:szCs w:val="28"/>
        </w:rPr>
      </w:pPr>
      <w:r>
        <w:rPr>
          <w:rFonts w:hint="eastAsia"/>
          <w:snapToGrid w:val="0"/>
          <w:sz w:val="28"/>
          <w:szCs w:val="28"/>
        </w:rPr>
        <w:t>项目营运期噪声</w:t>
      </w:r>
      <w:r>
        <w:rPr>
          <w:rFonts w:hint="eastAsia"/>
          <w:snapToGrid w:val="0"/>
          <w:kern w:val="0"/>
          <w:sz w:val="28"/>
          <w:szCs w:val="28"/>
        </w:rPr>
        <w:t>主要</w:t>
      </w:r>
      <w:r>
        <w:rPr>
          <w:rFonts w:hint="eastAsia"/>
          <w:snapToGrid w:val="0"/>
          <w:sz w:val="28"/>
          <w:szCs w:val="28"/>
        </w:rPr>
        <w:t>是切割机、气焊机、电焊机、折弯机等等机械设备运行产生的噪声。企业通过选用低噪声设备，合理布局，采取减振、消音、隔声等措施降低噪声的影响。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（四）固废</w:t>
      </w:r>
    </w:p>
    <w:p>
      <w:pPr>
        <w:pStyle w:val="21"/>
        <w:spacing w:after="0"/>
        <w:ind w:firstLine="786" w:firstLineChars="200"/>
        <w:jc w:val="left"/>
        <w:rPr>
          <w:rFonts w:hint="eastAsia"/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项目一般固体废物主要是生产过程中的金属下脚料，集中收集后暂存一般固废库，由废品回收站定期回收；危险废物主要有废机油、废机油桶，均集中收集后暂存危废暂存间，定期委托有资质单位定期进行处置；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职工生活产生的生活垃圾定点放置，由环卫部门定期清运。</w:t>
      </w:r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四、环保措施调试效果</w:t>
      </w:r>
    </w:p>
    <w:p>
      <w:pPr>
        <w:pStyle w:val="21"/>
        <w:spacing w:after="0"/>
        <w:ind w:firstLine="786" w:firstLineChars="200"/>
        <w:jc w:val="left"/>
        <w:rPr>
          <w:snapToGrid w:val="0"/>
          <w:kern w:val="0"/>
          <w:sz w:val="28"/>
          <w:szCs w:val="28"/>
        </w:rPr>
      </w:pPr>
      <w:r>
        <w:rPr>
          <w:snapToGrid w:val="0"/>
          <w:kern w:val="0"/>
          <w:sz w:val="28"/>
          <w:szCs w:val="28"/>
        </w:rPr>
        <w:t>青岛殖富园机械有限公司验收监测报告表明，</w:t>
      </w:r>
      <w:r>
        <w:rPr>
          <w:snapToGrid w:val="0"/>
          <w:sz w:val="28"/>
          <w:szCs w:val="28"/>
        </w:rPr>
        <w:t>验收监测期间：</w:t>
      </w:r>
    </w:p>
    <w:p>
      <w:pPr>
        <w:pStyle w:val="21"/>
        <w:spacing w:after="0"/>
        <w:ind w:firstLine="786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1、</w:t>
      </w:r>
      <w:r>
        <w:rPr>
          <w:snapToGrid w:val="0"/>
          <w:kern w:val="0"/>
          <w:sz w:val="28"/>
          <w:szCs w:val="28"/>
        </w:rPr>
        <w:t>废气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验收监测期间</w:t>
      </w:r>
      <w:r>
        <w:rPr>
          <w:rFonts w:hint="eastAsia"/>
          <w:snapToGrid w:val="0"/>
          <w:sz w:val="28"/>
          <w:szCs w:val="28"/>
        </w:rPr>
        <w:t>，</w:t>
      </w:r>
      <w:r>
        <w:rPr>
          <w:rFonts w:hint="eastAsia"/>
          <w:snapToGrid w:val="0"/>
          <w:sz w:val="28"/>
          <w:szCs w:val="28"/>
          <w:lang w:val="zh-TW"/>
        </w:rPr>
        <w:t>焊接废气排气筒中颗粒物排放浓度满足</w:t>
      </w:r>
      <w:r>
        <w:rPr>
          <w:rFonts w:hint="eastAsia"/>
          <w:snapToGrid w:val="0"/>
          <w:kern w:val="0"/>
          <w:sz w:val="28"/>
          <w:szCs w:val="28"/>
        </w:rPr>
        <w:t>《山东省区域性大气污染物综合排放标准》</w:t>
      </w:r>
      <w:r>
        <w:rPr>
          <w:rFonts w:hint="eastAsia"/>
          <w:snapToGrid w:val="0"/>
          <w:sz w:val="28"/>
          <w:szCs w:val="28"/>
          <w:lang w:val="zh-TW"/>
        </w:rPr>
        <w:t>（DB 37/2376-2019）表1中重点控制区要求，排放速率满足</w:t>
      </w:r>
      <w:r>
        <w:rPr>
          <w:rFonts w:hint="eastAsia"/>
          <w:snapToGrid w:val="0"/>
          <w:kern w:val="0"/>
          <w:sz w:val="28"/>
          <w:szCs w:val="28"/>
        </w:rPr>
        <w:t>《大气污染物综合排放标准》</w:t>
      </w:r>
      <w:r>
        <w:rPr>
          <w:rFonts w:hint="eastAsia"/>
          <w:snapToGrid w:val="0"/>
          <w:sz w:val="28"/>
          <w:szCs w:val="28"/>
          <w:lang w:val="zh-TW"/>
        </w:rPr>
        <w:t>（GB16297-1996）表2中二级标准要求；无组织排放废气中颗粒物满足《大气污染物综合排放标准》（GB16297-1996）表2中无组织排放监控浓度限值</w:t>
      </w:r>
      <w:r>
        <w:rPr>
          <w:rFonts w:hint="eastAsia"/>
          <w:snapToGrid w:val="0"/>
          <w:kern w:val="0"/>
          <w:sz w:val="28"/>
          <w:szCs w:val="28"/>
        </w:rPr>
        <w:t>要求</w:t>
      </w:r>
      <w:r>
        <w:rPr>
          <w:rFonts w:hint="eastAsia"/>
          <w:snapToGrid w:val="0"/>
          <w:sz w:val="28"/>
          <w:szCs w:val="28"/>
          <w:lang w:val="zh-TW"/>
        </w:rPr>
        <w:t>。</w:t>
      </w:r>
    </w:p>
    <w:p>
      <w:pPr>
        <w:pStyle w:val="21"/>
        <w:spacing w:after="0"/>
        <w:ind w:firstLine="786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2、</w:t>
      </w:r>
      <w:r>
        <w:rPr>
          <w:snapToGrid w:val="0"/>
          <w:sz w:val="28"/>
          <w:szCs w:val="28"/>
        </w:rPr>
        <w:t>噪声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验收监测</w:t>
      </w:r>
      <w:r>
        <w:rPr>
          <w:snapToGrid w:val="0"/>
          <w:kern w:val="0"/>
          <w:sz w:val="28"/>
          <w:szCs w:val="28"/>
        </w:rPr>
        <w:t>期间</w:t>
      </w:r>
      <w:r>
        <w:rPr>
          <w:snapToGrid w:val="0"/>
          <w:sz w:val="28"/>
          <w:szCs w:val="28"/>
        </w:rPr>
        <w:t>，</w:t>
      </w:r>
      <w:r>
        <w:rPr>
          <w:rFonts w:hint="eastAsia"/>
          <w:snapToGrid w:val="0"/>
          <w:sz w:val="28"/>
          <w:szCs w:val="28"/>
          <w:lang w:val="zh-TW"/>
        </w:rPr>
        <w:t>厂界四周昼夜</w:t>
      </w:r>
      <w:r>
        <w:rPr>
          <w:rFonts w:hint="eastAsia"/>
          <w:snapToGrid w:val="0"/>
          <w:kern w:val="0"/>
          <w:sz w:val="28"/>
          <w:szCs w:val="28"/>
        </w:rPr>
        <w:t>噪声满足《工业企业厂界环境噪声排放标准》</w:t>
      </w:r>
      <w:r>
        <w:rPr>
          <w:rFonts w:hint="eastAsia"/>
          <w:snapToGrid w:val="0"/>
          <w:sz w:val="28"/>
          <w:szCs w:val="28"/>
          <w:lang w:val="zh-TW"/>
        </w:rPr>
        <w:t>（GB12348-2008）表1中2类声环境功能区标准要求。</w:t>
      </w:r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五、验收结论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项目已按环评和批复要求完成</w:t>
      </w:r>
      <w:r>
        <w:rPr>
          <w:rFonts w:hint="eastAsia"/>
          <w:snapToGrid w:val="0"/>
          <w:kern w:val="0"/>
          <w:sz w:val="28"/>
          <w:szCs w:val="28"/>
        </w:rPr>
        <w:t>“</w:t>
      </w:r>
      <w:r>
        <w:rPr>
          <w:snapToGrid w:val="0"/>
          <w:kern w:val="0"/>
          <w:sz w:val="28"/>
          <w:szCs w:val="28"/>
        </w:rPr>
        <w:t>三同时</w:t>
      </w:r>
      <w:r>
        <w:rPr>
          <w:rFonts w:hint="eastAsia"/>
          <w:snapToGrid w:val="0"/>
          <w:kern w:val="0"/>
          <w:sz w:val="28"/>
          <w:szCs w:val="28"/>
        </w:rPr>
        <w:t>”</w:t>
      </w:r>
      <w:r>
        <w:rPr>
          <w:snapToGrid w:val="0"/>
          <w:sz w:val="28"/>
          <w:szCs w:val="28"/>
        </w:rPr>
        <w:t>建设，无重大变动，污染物达标排放，验收监测报告结论可信，验收合格。</w:t>
      </w:r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b/>
          <w:bCs/>
          <w:snapToGrid w:val="0"/>
          <w:kern w:val="0"/>
          <w:sz w:val="28"/>
          <w:szCs w:val="28"/>
        </w:rPr>
        <w:t>六、后续要求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rFonts w:hint="eastAsia"/>
          <w:snapToGrid w:val="0"/>
          <w:sz w:val="28"/>
          <w:szCs w:val="28"/>
        </w:rPr>
        <w:t>1、编制突发环境事件应急预案</w:t>
      </w:r>
      <w:r>
        <w:rPr>
          <w:rFonts w:hint="eastAsia"/>
          <w:snapToGrid w:val="0"/>
          <w:kern w:val="0"/>
          <w:sz w:val="28"/>
          <w:szCs w:val="28"/>
        </w:rPr>
        <w:t>，</w:t>
      </w:r>
      <w:r>
        <w:rPr>
          <w:rFonts w:hint="eastAsia"/>
          <w:snapToGrid w:val="0"/>
          <w:sz w:val="28"/>
          <w:szCs w:val="28"/>
        </w:rPr>
        <w:t>并报当地环保部门备案；</w:t>
      </w:r>
    </w:p>
    <w:p>
      <w:pPr>
        <w:pStyle w:val="21"/>
        <w:spacing w:after="0"/>
        <w:ind w:firstLine="786" w:firstLineChars="200"/>
        <w:jc w:val="left"/>
        <w:rPr>
          <w:rFonts w:hint="eastAsia"/>
          <w:snapToGrid w:val="0"/>
          <w:sz w:val="28"/>
          <w:szCs w:val="28"/>
        </w:rPr>
      </w:pPr>
      <w:r>
        <w:rPr>
          <w:rFonts w:hint="eastAsia"/>
          <w:snapToGrid w:val="0"/>
          <w:sz w:val="28"/>
          <w:szCs w:val="28"/>
        </w:rPr>
        <w:t>2、有组织废气排放口按规范要求设置</w:t>
      </w:r>
      <w:r>
        <w:rPr>
          <w:rFonts w:hint="eastAsia"/>
          <w:snapToGrid w:val="0"/>
          <w:kern w:val="0"/>
          <w:sz w:val="28"/>
          <w:szCs w:val="28"/>
        </w:rPr>
        <w:t>采样</w:t>
      </w:r>
      <w:r>
        <w:rPr>
          <w:rFonts w:hint="eastAsia"/>
          <w:snapToGrid w:val="0"/>
          <w:sz w:val="28"/>
          <w:szCs w:val="28"/>
        </w:rPr>
        <w:t>平台；废水排放口设置标识牌；</w:t>
      </w:r>
    </w:p>
    <w:p>
      <w:pPr>
        <w:pStyle w:val="21"/>
        <w:spacing w:after="0"/>
        <w:ind w:firstLine="786" w:firstLineChars="200"/>
        <w:jc w:val="left"/>
        <w:rPr>
          <w:snapToGrid w:val="0"/>
          <w:sz w:val="28"/>
          <w:szCs w:val="28"/>
        </w:rPr>
      </w:pPr>
      <w:r>
        <w:rPr>
          <w:rFonts w:hint="eastAsia"/>
          <w:snapToGrid w:val="0"/>
          <w:sz w:val="28"/>
          <w:szCs w:val="28"/>
        </w:rPr>
        <w:t>3</w:t>
      </w:r>
      <w:r>
        <w:rPr>
          <w:snapToGrid w:val="0"/>
          <w:sz w:val="28"/>
          <w:szCs w:val="28"/>
        </w:rPr>
        <w:t>、按照</w:t>
      </w:r>
      <w:r>
        <w:rPr>
          <w:snapToGrid w:val="0"/>
          <w:kern w:val="0"/>
          <w:sz w:val="28"/>
          <w:szCs w:val="28"/>
        </w:rPr>
        <w:t>《排污单位自行监测技术指南-总则》</w:t>
      </w:r>
      <w:r>
        <w:rPr>
          <w:snapToGrid w:val="0"/>
          <w:sz w:val="28"/>
          <w:szCs w:val="28"/>
        </w:rPr>
        <w:t>(HJ819-2017)要求，自主组织进行污染源监测，并</w:t>
      </w:r>
      <w:r>
        <w:rPr>
          <w:snapToGrid w:val="0"/>
          <w:kern w:val="0"/>
          <w:sz w:val="28"/>
          <w:szCs w:val="28"/>
        </w:rPr>
        <w:t>做好</w:t>
      </w:r>
      <w:r>
        <w:rPr>
          <w:snapToGrid w:val="0"/>
          <w:sz w:val="28"/>
          <w:szCs w:val="28"/>
        </w:rPr>
        <w:t>记录。</w:t>
      </w:r>
      <w:bookmarkStart w:id="0" w:name="_GoBack"/>
      <w:bookmarkEnd w:id="0"/>
    </w:p>
    <w:p>
      <w:pPr>
        <w:pStyle w:val="21"/>
        <w:spacing w:after="0"/>
        <w:ind w:firstLine="786" w:firstLineChars="200"/>
        <w:jc w:val="left"/>
        <w:rPr>
          <w:b/>
          <w:bCs/>
          <w:snapToGrid w:val="0"/>
          <w:kern w:val="0"/>
          <w:sz w:val="28"/>
          <w:szCs w:val="28"/>
        </w:rPr>
      </w:pPr>
      <w:r>
        <w:rPr>
          <w:rFonts w:hint="eastAsia"/>
          <w:b/>
          <w:bCs/>
          <w:snapToGrid w:val="0"/>
          <w:kern w:val="0"/>
          <w:sz w:val="28"/>
          <w:szCs w:val="28"/>
        </w:rPr>
        <w:t>七、验收意见</w:t>
      </w:r>
    </w:p>
    <w:tbl>
      <w:tblPr>
        <w:tblStyle w:val="22"/>
        <w:tblW w:w="0" w:type="auto"/>
        <w:jc w:val="center"/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605"/>
        <w:gridCol w:w="1155"/>
        <w:gridCol w:w="894"/>
        <w:gridCol w:w="3490"/>
        <w:gridCol w:w="1276"/>
        <w:gridCol w:w="2139"/>
      </w:tblGrid>
      <w:tr>
        <w:tblPrEx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94" w:hRule="atLeast"/>
          <w:jc w:val="center"/>
        </w:trPr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b/>
                <w:bCs/>
                <w:snapToGrid w:val="0"/>
                <w:color w:val="000000"/>
                <w:kern w:val="0"/>
                <w:sz w:val="24"/>
                <w:szCs w:val="24"/>
                <w:lang w:bidi="he-IL"/>
              </w:rPr>
              <w:t>验收组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b/>
                <w:bCs/>
                <w:snapToGrid w:val="0"/>
                <w:color w:val="000000"/>
                <w:kern w:val="0"/>
                <w:sz w:val="24"/>
                <w:szCs w:val="24"/>
                <w:lang w:bidi="he-IL"/>
              </w:rPr>
              <w:t>姓  名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b/>
                <w:bCs/>
                <w:snapToGrid w:val="0"/>
                <w:color w:val="000000"/>
                <w:kern w:val="0"/>
                <w:sz w:val="24"/>
                <w:szCs w:val="24"/>
                <w:lang w:bidi="he-IL"/>
              </w:rPr>
              <w:t>单      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b/>
                <w:bCs/>
                <w:snapToGrid w:val="0"/>
                <w:color w:val="000000"/>
                <w:kern w:val="0"/>
                <w:sz w:val="24"/>
                <w:szCs w:val="24"/>
                <w:lang w:bidi="he-IL"/>
              </w:rPr>
              <w:t>职务/</w:t>
            </w:r>
          </w:p>
          <w:p>
            <w:pPr>
              <w:snapToGrid w:val="0"/>
              <w:jc w:val="center"/>
              <w:rPr>
                <w:szCs w:val="24"/>
              </w:rPr>
            </w:pPr>
            <w:r>
              <w:rPr>
                <w:b/>
                <w:bCs/>
                <w:snapToGrid w:val="0"/>
                <w:color w:val="000000"/>
                <w:kern w:val="0"/>
                <w:sz w:val="24"/>
                <w:szCs w:val="24"/>
                <w:lang w:bidi="he-IL"/>
              </w:rPr>
              <w:t>职称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b/>
                <w:bCs/>
                <w:snapToGrid w:val="0"/>
                <w:color w:val="000000"/>
                <w:kern w:val="0"/>
                <w:sz w:val="24"/>
                <w:szCs w:val="24"/>
                <w:lang w:bidi="he-IL"/>
              </w:rPr>
              <w:t>签  名</w:t>
            </w:r>
          </w:p>
        </w:tc>
      </w:tr>
      <w:tr>
        <w:tblPrEx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94" w:hRule="atLeast"/>
          <w:jc w:val="center"/>
        </w:trPr>
        <w:tc>
          <w:tcPr>
            <w:tcW w:w="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  <w:lang w:bidi="he-IL"/>
              </w:rPr>
              <w:t>组长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  <w:lang w:bidi="he-IL"/>
              </w:rPr>
              <w:t>建设单位及报告编制单位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谢林清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</w:rPr>
              <w:t>青岛殖富园机械有限公司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  <w:szCs w:val="24"/>
              </w:rPr>
              <w:t>总</w:t>
            </w:r>
            <w:r>
              <w:rPr>
                <w:snapToGrid w:val="0"/>
                <w:color w:val="000000"/>
                <w:kern w:val="0"/>
                <w:sz w:val="24"/>
                <w:szCs w:val="24"/>
              </w:rPr>
              <w:t>经理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94" w:hRule="atLeast"/>
          <w:jc w:val="center"/>
        </w:trPr>
        <w:tc>
          <w:tcPr>
            <w:tcW w:w="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  <w:lang w:bidi="he-IL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  <w:lang w:bidi="he-IL"/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eastAsia="宋体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林平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</w:rPr>
              <w:t>青岛殖富园机械有限公司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  <w:szCs w:val="24"/>
              </w:rPr>
              <w:t>副总</w:t>
            </w:r>
            <w:r>
              <w:rPr>
                <w:snapToGrid w:val="0"/>
                <w:color w:val="000000"/>
                <w:kern w:val="0"/>
                <w:sz w:val="24"/>
                <w:szCs w:val="24"/>
              </w:rPr>
              <w:t>经理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94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</w:rPr>
              <w:t>成员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</w:rPr>
              <w:t>监测单位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  <w:szCs w:val="24"/>
              </w:rPr>
              <w:t>姜海洋</w:t>
            </w:r>
          </w:p>
        </w:tc>
        <w:tc>
          <w:tcPr>
            <w:tcW w:w="3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  <w:szCs w:val="24"/>
              </w:rPr>
              <w:t>青岛中旭检测检验有限公司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snapToGrid w:val="0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</w:tbl>
    <w:p>
      <w:pPr>
        <w:spacing w:line="340" w:lineRule="exact"/>
        <w:ind w:firstLine="706" w:firstLineChars="200"/>
        <w:jc w:val="right"/>
        <w:rPr>
          <w:b/>
          <w:bCs/>
          <w:snapToGrid w:val="0"/>
          <w:color w:val="000000"/>
          <w:sz w:val="24"/>
          <w:szCs w:val="24"/>
        </w:rPr>
      </w:pPr>
      <w:r>
        <w:rPr>
          <w:rFonts w:hint="eastAsia"/>
          <w:b/>
          <w:bCs/>
          <w:snapToGrid w:val="0"/>
          <w:color w:val="000000"/>
          <w:sz w:val="24"/>
          <w:szCs w:val="24"/>
        </w:rPr>
        <w:t>青岛殖富园机械有限公司</w:t>
      </w:r>
    </w:p>
    <w:p>
      <w:pPr>
        <w:spacing w:line="340" w:lineRule="exact"/>
        <w:ind w:firstLine="706" w:firstLineChars="200"/>
        <w:jc w:val="right"/>
        <w:rPr>
          <w:snapToGrid w:val="0"/>
          <w:sz w:val="28"/>
          <w:szCs w:val="28"/>
        </w:rPr>
      </w:pPr>
      <w:r>
        <w:rPr>
          <w:rFonts w:hint="eastAsia"/>
          <w:b/>
          <w:bCs/>
          <w:snapToGrid w:val="0"/>
          <w:color w:val="000000"/>
          <w:sz w:val="24"/>
          <w:szCs w:val="24"/>
        </w:rPr>
        <w:t>2020年</w:t>
      </w:r>
      <w:r>
        <w:rPr>
          <w:rFonts w:hint="eastAsia"/>
          <w:b/>
          <w:bCs/>
          <w:snapToGrid w:val="0"/>
          <w:color w:val="000000"/>
          <w:sz w:val="24"/>
          <w:szCs w:val="24"/>
          <w:lang w:val="en-US" w:eastAsia="zh-CN"/>
        </w:rPr>
        <w:t>6</w:t>
      </w:r>
      <w:r>
        <w:rPr>
          <w:rFonts w:hint="eastAsia"/>
          <w:b/>
          <w:bCs/>
          <w:snapToGrid w:val="0"/>
          <w:color w:val="000000"/>
          <w:sz w:val="24"/>
          <w:szCs w:val="24"/>
        </w:rPr>
        <w:t>月</w:t>
      </w:r>
      <w:r>
        <w:rPr>
          <w:rFonts w:hint="eastAsia"/>
          <w:b/>
          <w:bCs/>
          <w:snapToGrid w:val="0"/>
          <w:color w:val="000000"/>
          <w:sz w:val="24"/>
          <w:szCs w:val="24"/>
          <w:lang w:val="en-US" w:eastAsia="zh-CN"/>
        </w:rPr>
        <w:t>15</w:t>
      </w:r>
      <w:r>
        <w:rPr>
          <w:rFonts w:hint="eastAsia"/>
          <w:b/>
          <w:bCs/>
          <w:snapToGrid w:val="0"/>
          <w:color w:val="000000"/>
          <w:sz w:val="24"/>
          <w:szCs w:val="24"/>
        </w:rPr>
        <w:t>日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080" w:bottom="1440" w:left="1080" w:header="851" w:footer="992" w:gutter="0"/>
      <w:pgNumType w:fmt="numberInDash"/>
      <w:cols w:space="720" w:num="1"/>
      <w:docGrid w:type="linesAndChars" w:linePitch="560" w:charSpace="233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  <w:jc w:val="center"/>
      <w:rPr>
        <w:rFonts w:cs="Times New Roman"/>
      </w:rPr>
    </w:pPr>
  </w:p>
  <w:p>
    <w:pPr>
      <w:pStyle w:val="14"/>
      <w:ind w:firstLine="0" w:firstLineChars="0"/>
      <w:rPr>
        <w:rFonts w:eastAsia="楷体_GB2312" w:cs="Times New Roman"/>
        <w:b/>
        <w:bCs/>
        <w:snapToGrid w:val="0"/>
        <w:kern w:val="0"/>
        <w:sz w:val="22"/>
        <w:szCs w:val="22"/>
        <w:u w:val="single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62"/>
  <w:drawingGridVerticalSpacing w:val="280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4E0"/>
    <w:rsid w:val="00013024"/>
    <w:rsid w:val="00024467"/>
    <w:rsid w:val="0007362E"/>
    <w:rsid w:val="000C23AD"/>
    <w:rsid w:val="0020045B"/>
    <w:rsid w:val="00200B70"/>
    <w:rsid w:val="002C1A27"/>
    <w:rsid w:val="00435F95"/>
    <w:rsid w:val="004E40B2"/>
    <w:rsid w:val="00587C14"/>
    <w:rsid w:val="005A31B4"/>
    <w:rsid w:val="005D1025"/>
    <w:rsid w:val="005D7149"/>
    <w:rsid w:val="00653F1A"/>
    <w:rsid w:val="007152BB"/>
    <w:rsid w:val="0073772C"/>
    <w:rsid w:val="00794BA4"/>
    <w:rsid w:val="009D6465"/>
    <w:rsid w:val="00A2371F"/>
    <w:rsid w:val="00A62FA6"/>
    <w:rsid w:val="00AA1133"/>
    <w:rsid w:val="00B04F11"/>
    <w:rsid w:val="00BA50B0"/>
    <w:rsid w:val="00BA5AD8"/>
    <w:rsid w:val="00BF53B4"/>
    <w:rsid w:val="00C47878"/>
    <w:rsid w:val="00C91F3E"/>
    <w:rsid w:val="00CC75F5"/>
    <w:rsid w:val="00CF578B"/>
    <w:rsid w:val="00DC3328"/>
    <w:rsid w:val="00ED012E"/>
    <w:rsid w:val="00F514E0"/>
    <w:rsid w:val="00F6790B"/>
    <w:rsid w:val="00F8253A"/>
    <w:rsid w:val="00FA70C4"/>
    <w:rsid w:val="293C34E5"/>
    <w:rsid w:val="2EA6781A"/>
    <w:rsid w:val="45392145"/>
    <w:rsid w:val="56E974DD"/>
    <w:rsid w:val="703F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9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9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9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9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9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9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9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34"/>
    <w:qFormat/>
    <w:uiPriority w:val="99"/>
    <w:pPr>
      <w:keepNext/>
      <w:keepLines/>
      <w:spacing w:before="340" w:after="330" w:line="578" w:lineRule="auto"/>
      <w:outlineLvl w:val="0"/>
    </w:pPr>
    <w:rPr>
      <w:rFonts w:ascii="黑体" w:hAnsi="黑体" w:eastAsia="黑体" w:cs="黑体"/>
      <w:sz w:val="32"/>
      <w:szCs w:val="32"/>
    </w:rPr>
  </w:style>
  <w:style w:type="paragraph" w:styleId="5">
    <w:name w:val="heading 2"/>
    <w:basedOn w:val="1"/>
    <w:next w:val="6"/>
    <w:link w:val="35"/>
    <w:qFormat/>
    <w:uiPriority w:val="99"/>
    <w:pPr>
      <w:keepNext/>
      <w:keepLines/>
      <w:spacing w:before="260" w:after="260" w:line="415" w:lineRule="auto"/>
      <w:outlineLvl w:val="1"/>
    </w:pPr>
    <w:rPr>
      <w:rFonts w:ascii="仿宋_GB2312" w:hAnsi="宋体" w:eastAsia="仿宋_GB2312" w:cs="仿宋_GB2312"/>
      <w:b/>
      <w:bCs/>
      <w:sz w:val="32"/>
      <w:szCs w:val="32"/>
    </w:rPr>
  </w:style>
  <w:style w:type="paragraph" w:styleId="7">
    <w:name w:val="heading 3"/>
    <w:basedOn w:val="1"/>
    <w:next w:val="1"/>
    <w:link w:val="36"/>
    <w:qFormat/>
    <w:uiPriority w:val="99"/>
    <w:pPr>
      <w:keepNext/>
      <w:keepLines/>
      <w:spacing w:before="260" w:after="260" w:line="416" w:lineRule="auto"/>
      <w:outlineLvl w:val="2"/>
    </w:pPr>
    <w:rPr>
      <w:rFonts w:ascii="仿宋_GB2312" w:hAnsi="宋体" w:eastAsia="仿宋_GB2312" w:cs="仿宋_GB2312"/>
      <w:b/>
      <w:bCs/>
      <w:sz w:val="32"/>
      <w:szCs w:val="32"/>
    </w:rPr>
  </w:style>
  <w:style w:type="character" w:default="1" w:styleId="31">
    <w:name w:val="Default Paragraph Font"/>
    <w:unhideWhenUsed/>
    <w:uiPriority w:val="1"/>
  </w:style>
  <w:style w:type="table" w:default="1" w:styleId="2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8"/>
    <w:qFormat/>
    <w:uiPriority w:val="99"/>
    <w:pPr>
      <w:spacing w:after="120" w:line="240" w:lineRule="auto"/>
      <w:ind w:left="420" w:leftChars="200"/>
    </w:pPr>
    <w:rPr>
      <w:sz w:val="21"/>
      <w:szCs w:val="21"/>
    </w:rPr>
  </w:style>
  <w:style w:type="paragraph" w:styleId="3">
    <w:name w:val="Body Text Indent"/>
    <w:basedOn w:val="1"/>
    <w:link w:val="37"/>
    <w:qFormat/>
    <w:uiPriority w:val="99"/>
    <w:pPr>
      <w:spacing w:line="400" w:lineRule="atLeast"/>
      <w:ind w:firstLine="420"/>
    </w:pPr>
    <w:rPr>
      <w:rFonts w:ascii="仿宋_GB2312" w:hAnsi="宋体" w:eastAsia="仿宋_GB2312" w:cs="仿宋_GB2312"/>
      <w:sz w:val="32"/>
      <w:szCs w:val="32"/>
    </w:rPr>
  </w:style>
  <w:style w:type="paragraph" w:styleId="6">
    <w:name w:val="Normal Indent"/>
    <w:basedOn w:val="1"/>
    <w:link w:val="61"/>
    <w:qFormat/>
    <w:uiPriority w:val="99"/>
    <w:pPr>
      <w:snapToGrid w:val="0"/>
      <w:spacing w:before="60" w:after="60" w:line="300" w:lineRule="auto"/>
      <w:ind w:firstLine="420"/>
    </w:pPr>
    <w:rPr>
      <w:sz w:val="24"/>
      <w:szCs w:val="24"/>
    </w:rPr>
  </w:style>
  <w:style w:type="paragraph" w:styleId="8">
    <w:name w:val="Document Map"/>
    <w:basedOn w:val="1"/>
    <w:link w:val="41"/>
    <w:qFormat/>
    <w:uiPriority w:val="99"/>
    <w:pPr>
      <w:shd w:val="clear" w:color="auto" w:fill="000080"/>
    </w:pPr>
  </w:style>
  <w:style w:type="paragraph" w:styleId="9">
    <w:name w:val="annotation text"/>
    <w:basedOn w:val="1"/>
    <w:link w:val="42"/>
    <w:qFormat/>
    <w:uiPriority w:val="99"/>
    <w:pPr>
      <w:jc w:val="left"/>
    </w:pPr>
  </w:style>
  <w:style w:type="paragraph" w:styleId="10">
    <w:name w:val="Body Text"/>
    <w:basedOn w:val="1"/>
    <w:link w:val="39"/>
    <w:qFormat/>
    <w:uiPriority w:val="99"/>
    <w:pPr>
      <w:spacing w:after="120"/>
    </w:pPr>
  </w:style>
  <w:style w:type="paragraph" w:styleId="11">
    <w:name w:val="Plain Text"/>
    <w:basedOn w:val="1"/>
    <w:link w:val="43"/>
    <w:qFormat/>
    <w:uiPriority w:val="99"/>
    <w:rPr>
      <w:rFonts w:ascii="宋体" w:hAnsi="Courier New" w:cs="宋体"/>
    </w:rPr>
  </w:style>
  <w:style w:type="paragraph" w:styleId="12">
    <w:name w:val="Date"/>
    <w:basedOn w:val="1"/>
    <w:next w:val="1"/>
    <w:link w:val="44"/>
    <w:qFormat/>
    <w:uiPriority w:val="99"/>
    <w:pPr>
      <w:ind w:left="100" w:leftChars="2500"/>
    </w:pPr>
    <w:rPr>
      <w:rFonts w:ascii="仿宋_GB2312" w:hAnsi="宋体" w:eastAsia="仿宋_GB2312" w:cs="仿宋_GB2312"/>
      <w:sz w:val="32"/>
      <w:szCs w:val="32"/>
    </w:rPr>
  </w:style>
  <w:style w:type="paragraph" w:styleId="13">
    <w:name w:val="Balloon Text"/>
    <w:basedOn w:val="1"/>
    <w:link w:val="45"/>
    <w:qFormat/>
    <w:uiPriority w:val="99"/>
    <w:rPr>
      <w:rFonts w:ascii="仿宋_GB2312" w:hAnsi="宋体" w:eastAsia="仿宋_GB2312" w:cs="仿宋_GB2312"/>
      <w:sz w:val="18"/>
      <w:szCs w:val="18"/>
    </w:rPr>
  </w:style>
  <w:style w:type="paragraph" w:styleId="14">
    <w:name w:val="footer"/>
    <w:basedOn w:val="1"/>
    <w:link w:val="46"/>
    <w:qFormat/>
    <w:uiPriority w:val="99"/>
    <w:pPr>
      <w:tabs>
        <w:tab w:val="center" w:pos="4140"/>
        <w:tab w:val="right" w:pos="8300"/>
      </w:tabs>
      <w:snapToGrid w:val="0"/>
      <w:ind w:firstLine="200" w:firstLineChars="200"/>
    </w:pPr>
    <w:rPr>
      <w:rFonts w:ascii="仿宋_GB2312" w:hAnsi="宋体" w:eastAsia="仿宋_GB2312" w:cs="仿宋_GB2312"/>
      <w:sz w:val="18"/>
      <w:szCs w:val="18"/>
    </w:rPr>
  </w:style>
  <w:style w:type="paragraph" w:styleId="15">
    <w:name w:val="header"/>
    <w:basedOn w:val="1"/>
    <w:link w:val="47"/>
    <w:qFormat/>
    <w:uiPriority w:val="99"/>
    <w:pPr>
      <w:pBdr>
        <w:bottom w:val="single" w:color="auto" w:sz="6" w:space="31"/>
      </w:pBdr>
      <w:tabs>
        <w:tab w:val="center" w:pos="4140"/>
        <w:tab w:val="right" w:pos="8300"/>
      </w:tabs>
      <w:snapToGrid w:val="0"/>
      <w:ind w:firstLine="360" w:firstLineChars="200"/>
      <w:jc w:val="center"/>
    </w:pPr>
    <w:rPr>
      <w:rFonts w:ascii="仿宋_GB2312" w:hAnsi="宋体" w:eastAsia="仿宋_GB2312" w:cs="仿宋_GB2312"/>
      <w:sz w:val="18"/>
      <w:szCs w:val="18"/>
    </w:rPr>
  </w:style>
  <w:style w:type="paragraph" w:styleId="16">
    <w:name w:val="toc 1"/>
    <w:basedOn w:val="1"/>
    <w:next w:val="1"/>
    <w:qFormat/>
    <w:uiPriority w:val="99"/>
    <w:pPr>
      <w:tabs>
        <w:tab w:val="right" w:leader="dot" w:pos="8280"/>
      </w:tabs>
      <w:jc w:val="center"/>
    </w:pPr>
    <w:rPr>
      <w:rFonts w:ascii="黑体" w:hAnsi="黑体" w:eastAsia="黑体" w:cs="黑体"/>
      <w:sz w:val="44"/>
      <w:szCs w:val="44"/>
    </w:rPr>
  </w:style>
  <w:style w:type="paragraph" w:styleId="17">
    <w:name w:val="toc 2"/>
    <w:basedOn w:val="1"/>
    <w:next w:val="1"/>
    <w:qFormat/>
    <w:uiPriority w:val="99"/>
    <w:pPr>
      <w:ind w:left="420" w:leftChars="200"/>
    </w:pPr>
  </w:style>
  <w:style w:type="paragraph" w:styleId="1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19">
    <w:name w:val="Title"/>
    <w:basedOn w:val="1"/>
    <w:link w:val="48"/>
    <w:qFormat/>
    <w:uiPriority w:val="99"/>
    <w:pPr>
      <w:jc w:val="center"/>
    </w:pPr>
    <w:rPr>
      <w:rFonts w:ascii="方正小标宋简体" w:hAnsi="宋体" w:eastAsia="方正小标宋简体" w:cs="方正小标宋简体"/>
      <w:sz w:val="36"/>
      <w:szCs w:val="36"/>
    </w:rPr>
  </w:style>
  <w:style w:type="paragraph" w:styleId="20">
    <w:name w:val="annotation subject"/>
    <w:basedOn w:val="9"/>
    <w:next w:val="9"/>
    <w:link w:val="71"/>
    <w:qFormat/>
    <w:uiPriority w:val="99"/>
    <w:rPr>
      <w:b/>
      <w:bCs/>
    </w:rPr>
  </w:style>
  <w:style w:type="paragraph" w:styleId="21">
    <w:name w:val="Body Text First Indent"/>
    <w:basedOn w:val="10"/>
    <w:link w:val="40"/>
    <w:qFormat/>
    <w:uiPriority w:val="99"/>
    <w:pPr>
      <w:ind w:firstLine="420" w:firstLineChars="100"/>
    </w:pPr>
  </w:style>
  <w:style w:type="table" w:styleId="23">
    <w:name w:val="Table Grid"/>
    <w:basedOn w:val="2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4">
    <w:name w:val="Medium Grid 3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5">
    <w:name w:val="Medium Grid 3 Accent 1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6">
    <w:name w:val="Medium Grid 3 Accent 2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7">
    <w:name w:val="Medium Grid 3 Accent 3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8">
    <w:name w:val="Medium Grid 3 Accent 4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9">
    <w:name w:val="Medium Grid 3 Accent 5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30">
    <w:name w:val="Medium Grid 3 Accent 6"/>
    <w:basedOn w:val="22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32">
    <w:name w:val="page number"/>
    <w:qFormat/>
    <w:uiPriority w:val="99"/>
    <w:rPr>
      <w:rFonts w:ascii="Times New Roman" w:hAnsi="Times New Roman" w:eastAsia="宋体" w:cs="Times New Roman"/>
    </w:rPr>
  </w:style>
  <w:style w:type="character" w:styleId="33">
    <w:name w:val="Hyperlink"/>
    <w:qFormat/>
    <w:uiPriority w:val="99"/>
    <w:rPr>
      <w:color w:val="0000FF"/>
      <w:u w:val="single"/>
    </w:rPr>
  </w:style>
  <w:style w:type="character" w:customStyle="1" w:styleId="34">
    <w:name w:val="标题 1 Char"/>
    <w:link w:val="4"/>
    <w:qFormat/>
    <w:uiPriority w:val="99"/>
    <w:rPr>
      <w:rFonts w:ascii="黑体" w:hAnsi="黑体" w:eastAsia="黑体" w:cs="黑体"/>
      <w:kern w:val="2"/>
      <w:sz w:val="32"/>
      <w:szCs w:val="32"/>
      <w:lang w:val="en-US" w:eastAsia="zh-CN"/>
    </w:rPr>
  </w:style>
  <w:style w:type="character" w:customStyle="1" w:styleId="35">
    <w:name w:val="标题 2 Char"/>
    <w:link w:val="5"/>
    <w:qFormat/>
    <w:uiPriority w:val="99"/>
    <w:rPr>
      <w:rFonts w:ascii="仿宋_GB2312" w:hAnsi="宋体" w:eastAsia="仿宋_GB2312" w:cs="仿宋_GB2312"/>
      <w:b/>
      <w:bCs/>
      <w:kern w:val="2"/>
      <w:sz w:val="32"/>
      <w:szCs w:val="32"/>
      <w:lang w:val="en-US" w:eastAsia="zh-CN"/>
    </w:rPr>
  </w:style>
  <w:style w:type="character" w:customStyle="1" w:styleId="36">
    <w:name w:val="标题 3 Char"/>
    <w:link w:val="7"/>
    <w:qFormat/>
    <w:uiPriority w:val="99"/>
    <w:rPr>
      <w:rFonts w:ascii="仿宋_GB2312" w:hAnsi="宋体" w:eastAsia="仿宋_GB2312" w:cs="仿宋_GB2312"/>
      <w:b/>
      <w:bCs/>
      <w:kern w:val="2"/>
      <w:sz w:val="32"/>
      <w:szCs w:val="32"/>
    </w:rPr>
  </w:style>
  <w:style w:type="character" w:customStyle="1" w:styleId="37">
    <w:name w:val="正文文本缩进 Char"/>
    <w:link w:val="3"/>
    <w:qFormat/>
    <w:uiPriority w:val="99"/>
    <w:rPr>
      <w:rFonts w:ascii="仿宋_GB2312" w:hAnsi="宋体" w:eastAsia="仿宋_GB2312" w:cs="仿宋_GB2312"/>
      <w:kern w:val="2"/>
      <w:sz w:val="32"/>
      <w:szCs w:val="32"/>
    </w:rPr>
  </w:style>
  <w:style w:type="character" w:customStyle="1" w:styleId="38">
    <w:name w:val="正文首行缩进 2 Char"/>
    <w:link w:val="2"/>
    <w:qFormat/>
    <w:uiPriority w:val="99"/>
    <w:rPr>
      <w:rFonts w:ascii="仿宋_GB2312" w:hAnsi="宋体" w:eastAsia="仿宋_GB2312" w:cs="仿宋_GB2312"/>
      <w:kern w:val="2"/>
      <w:sz w:val="32"/>
      <w:szCs w:val="21"/>
    </w:rPr>
  </w:style>
  <w:style w:type="character" w:customStyle="1" w:styleId="39">
    <w:name w:val="正文文本 Char"/>
    <w:link w:val="10"/>
    <w:qFormat/>
    <w:uiPriority w:val="99"/>
    <w:rPr>
      <w:szCs w:val="21"/>
    </w:rPr>
  </w:style>
  <w:style w:type="character" w:customStyle="1" w:styleId="40">
    <w:name w:val="正文首行缩进 Char"/>
    <w:link w:val="21"/>
    <w:qFormat/>
    <w:uiPriority w:val="99"/>
    <w:rPr>
      <w:szCs w:val="21"/>
    </w:rPr>
  </w:style>
  <w:style w:type="character" w:customStyle="1" w:styleId="41">
    <w:name w:val="文档结构图 Char"/>
    <w:link w:val="8"/>
    <w:qFormat/>
    <w:uiPriority w:val="99"/>
    <w:rPr>
      <w:sz w:val="0"/>
      <w:szCs w:val="0"/>
    </w:rPr>
  </w:style>
  <w:style w:type="character" w:customStyle="1" w:styleId="42">
    <w:name w:val="批注文字 Char"/>
    <w:link w:val="9"/>
    <w:qFormat/>
    <w:uiPriority w:val="99"/>
    <w:rPr>
      <w:kern w:val="2"/>
      <w:sz w:val="24"/>
      <w:szCs w:val="24"/>
    </w:rPr>
  </w:style>
  <w:style w:type="character" w:customStyle="1" w:styleId="43">
    <w:name w:val="纯文本 Char"/>
    <w:link w:val="11"/>
    <w:qFormat/>
    <w:uiPriority w:val="99"/>
    <w:rPr>
      <w:rFonts w:ascii="宋体" w:hAnsi="Courier New" w:cs="Courier New"/>
      <w:szCs w:val="21"/>
    </w:rPr>
  </w:style>
  <w:style w:type="character" w:customStyle="1" w:styleId="44">
    <w:name w:val="日期 Char"/>
    <w:link w:val="12"/>
    <w:qFormat/>
    <w:uiPriority w:val="99"/>
    <w:rPr>
      <w:rFonts w:ascii="仿宋_GB2312" w:hAnsi="宋体" w:eastAsia="仿宋_GB2312" w:cs="仿宋_GB2312"/>
      <w:kern w:val="2"/>
      <w:sz w:val="32"/>
      <w:szCs w:val="32"/>
    </w:rPr>
  </w:style>
  <w:style w:type="character" w:customStyle="1" w:styleId="45">
    <w:name w:val="批注框文本 Char"/>
    <w:link w:val="13"/>
    <w:qFormat/>
    <w:uiPriority w:val="99"/>
    <w:rPr>
      <w:rFonts w:ascii="仿宋_GB2312" w:hAnsi="宋体" w:eastAsia="仿宋_GB2312" w:cs="仿宋_GB2312"/>
      <w:kern w:val="2"/>
      <w:sz w:val="18"/>
      <w:szCs w:val="18"/>
    </w:rPr>
  </w:style>
  <w:style w:type="character" w:customStyle="1" w:styleId="46">
    <w:name w:val="页脚 Char"/>
    <w:link w:val="14"/>
    <w:qFormat/>
    <w:uiPriority w:val="99"/>
    <w:rPr>
      <w:rFonts w:ascii="仿宋_GB2312" w:hAnsi="宋体" w:eastAsia="仿宋_GB2312" w:cs="仿宋_GB2312"/>
      <w:kern w:val="2"/>
      <w:sz w:val="18"/>
      <w:szCs w:val="18"/>
    </w:rPr>
  </w:style>
  <w:style w:type="character" w:customStyle="1" w:styleId="47">
    <w:name w:val="页眉 Char"/>
    <w:link w:val="15"/>
    <w:qFormat/>
    <w:uiPriority w:val="99"/>
    <w:rPr>
      <w:rFonts w:ascii="仿宋_GB2312" w:hAnsi="宋体" w:eastAsia="仿宋_GB2312" w:cs="仿宋_GB2312"/>
      <w:kern w:val="2"/>
      <w:sz w:val="18"/>
      <w:szCs w:val="18"/>
    </w:rPr>
  </w:style>
  <w:style w:type="character" w:customStyle="1" w:styleId="48">
    <w:name w:val="标题 Char"/>
    <w:link w:val="19"/>
    <w:qFormat/>
    <w:uiPriority w:val="99"/>
    <w:rPr>
      <w:rFonts w:ascii="方正小标宋简体" w:hAnsi="宋体" w:eastAsia="方正小标宋简体" w:cs="方正小标宋简体"/>
      <w:kern w:val="2"/>
      <w:sz w:val="36"/>
      <w:szCs w:val="36"/>
      <w:lang w:val="en-US" w:eastAsia="zh-CN"/>
    </w:rPr>
  </w:style>
  <w:style w:type="paragraph" w:customStyle="1" w:styleId="49">
    <w:name w:val="CEE正文"/>
    <w:basedOn w:val="1"/>
    <w:link w:val="65"/>
    <w:qFormat/>
    <w:uiPriority w:val="99"/>
    <w:pPr>
      <w:spacing w:line="360" w:lineRule="auto"/>
    </w:pPr>
    <w:rPr>
      <w:kern w:val="0"/>
      <w:sz w:val="24"/>
      <w:szCs w:val="24"/>
    </w:rPr>
  </w:style>
  <w:style w:type="paragraph" w:customStyle="1" w:styleId="50">
    <w:name w:val="p0"/>
    <w:basedOn w:val="1"/>
    <w:qFormat/>
    <w:uiPriority w:val="99"/>
    <w:pPr>
      <w:widowControl/>
    </w:pPr>
    <w:rPr>
      <w:kern w:val="0"/>
    </w:rPr>
  </w:style>
  <w:style w:type="paragraph" w:customStyle="1" w:styleId="51">
    <w:name w:val="默认段落字体 Para Char Char Char Char"/>
    <w:basedOn w:val="1"/>
    <w:qFormat/>
    <w:uiPriority w:val="99"/>
    <w:pPr>
      <w:spacing w:line="360" w:lineRule="auto"/>
    </w:pPr>
    <w:rPr>
      <w:rFonts w:ascii="宋体" w:cs="宋体"/>
      <w:sz w:val="24"/>
      <w:szCs w:val="24"/>
    </w:rPr>
  </w:style>
  <w:style w:type="paragraph" w:customStyle="1" w:styleId="52">
    <w:name w:val="我的表格"/>
    <w:basedOn w:val="1"/>
    <w:qFormat/>
    <w:uiPriority w:val="99"/>
    <w:pPr>
      <w:autoSpaceDE w:val="0"/>
      <w:autoSpaceDN w:val="0"/>
      <w:adjustRightInd w:val="0"/>
      <w:jc w:val="center"/>
    </w:pPr>
    <w:rPr>
      <w:kern w:val="0"/>
    </w:rPr>
  </w:style>
  <w:style w:type="paragraph" w:customStyle="1" w:styleId="53">
    <w:name w:val="表文字"/>
    <w:basedOn w:val="1"/>
    <w:link w:val="66"/>
    <w:qFormat/>
    <w:uiPriority w:val="99"/>
    <w:pPr>
      <w:topLinePunct/>
      <w:adjustRightInd w:val="0"/>
      <w:spacing w:line="240" w:lineRule="exact"/>
      <w:textAlignment w:val="baseline"/>
    </w:pPr>
    <w:rPr>
      <w:rFonts w:eastAsia="汉鼎简书宋"/>
    </w:rPr>
  </w:style>
  <w:style w:type="paragraph" w:customStyle="1" w:styleId="54">
    <w:name w:val="默认段落字体 Para Char Char Char Char Char Char Char"/>
    <w:basedOn w:val="1"/>
    <w:qFormat/>
    <w:uiPriority w:val="99"/>
  </w:style>
  <w:style w:type="paragraph" w:customStyle="1" w:styleId="55">
    <w:name w:val="正文2"/>
    <w:basedOn w:val="1"/>
    <w:link w:val="64"/>
    <w:qFormat/>
    <w:uiPriority w:val="99"/>
    <w:pPr>
      <w:snapToGrid w:val="0"/>
      <w:spacing w:line="500" w:lineRule="atLeast"/>
      <w:ind w:firstLine="567"/>
    </w:pPr>
    <w:rPr>
      <w:sz w:val="24"/>
      <w:szCs w:val="24"/>
    </w:rPr>
  </w:style>
  <w:style w:type="paragraph" w:customStyle="1" w:styleId="56">
    <w:name w:val="公文标题格式"/>
    <w:basedOn w:val="1"/>
    <w:qFormat/>
    <w:uiPriority w:val="99"/>
    <w:pPr>
      <w:spacing w:line="620" w:lineRule="exact"/>
      <w:ind w:right="11" w:rightChars="11"/>
      <w:jc w:val="center"/>
    </w:pPr>
    <w:rPr>
      <w:rFonts w:ascii="方正小标宋简体" w:hAnsi="华文中宋" w:eastAsia="方正小标宋简体" w:cs="方正小标宋简体"/>
      <w:sz w:val="44"/>
      <w:szCs w:val="44"/>
    </w:rPr>
  </w:style>
  <w:style w:type="paragraph" w:customStyle="1" w:styleId="57">
    <w:name w:val="落款"/>
    <w:basedOn w:val="1"/>
    <w:link w:val="63"/>
    <w:qFormat/>
    <w:uiPriority w:val="99"/>
    <w:pPr>
      <w:tabs>
        <w:tab w:val="left" w:pos="8844"/>
      </w:tabs>
      <w:wordWrap w:val="0"/>
      <w:ind w:right="400" w:rightChars="400"/>
      <w:jc w:val="right"/>
    </w:pPr>
    <w:rPr>
      <w:rFonts w:ascii="仿宋_GB2312" w:hAnsi="宋体" w:eastAsia="仿宋_GB2312" w:cs="仿宋_GB2312"/>
      <w:sz w:val="32"/>
      <w:szCs w:val="32"/>
    </w:rPr>
  </w:style>
  <w:style w:type="paragraph" w:customStyle="1" w:styleId="58">
    <w:name w:val="陈光的正文"/>
    <w:basedOn w:val="1"/>
    <w:link w:val="62"/>
    <w:qFormat/>
    <w:uiPriority w:val="99"/>
    <w:pPr>
      <w:adjustRightInd w:val="0"/>
      <w:snapToGrid w:val="0"/>
      <w:spacing w:beforeLines="10" w:afterLines="10" w:line="360" w:lineRule="auto"/>
      <w:ind w:firstLine="560"/>
    </w:pPr>
    <w:rPr>
      <w:sz w:val="28"/>
      <w:szCs w:val="28"/>
    </w:rPr>
  </w:style>
  <w:style w:type="paragraph" w:customStyle="1" w:styleId="5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隶书" w:hAnsi="Times New Roman" w:eastAsia="隶书" w:cs="隶书"/>
      <w:color w:val="000000"/>
      <w:sz w:val="24"/>
      <w:szCs w:val="24"/>
      <w:lang w:val="en-US" w:eastAsia="zh-CN" w:bidi="ar-SA"/>
    </w:rPr>
  </w:style>
  <w:style w:type="paragraph" w:customStyle="1" w:styleId="60">
    <w:name w:val="我的正文"/>
    <w:basedOn w:val="1"/>
    <w:qFormat/>
    <w:uiPriority w:val="99"/>
    <w:pPr>
      <w:spacing w:line="312" w:lineRule="auto"/>
    </w:pPr>
    <w:rPr>
      <w:sz w:val="24"/>
      <w:szCs w:val="24"/>
    </w:rPr>
  </w:style>
  <w:style w:type="character" w:customStyle="1" w:styleId="61">
    <w:name w:val="正文缩进 Char"/>
    <w:link w:val="6"/>
    <w:qFormat/>
    <w:uiPriority w:val="99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62">
    <w:name w:val="陈光的正文 Char Char"/>
    <w:link w:val="58"/>
    <w:qFormat/>
    <w:uiPriority w:val="99"/>
    <w:rPr>
      <w:rFonts w:ascii="Times New Roman" w:hAnsi="Times New Roman" w:eastAsia="宋体" w:cs="Times New Roman"/>
      <w:kern w:val="2"/>
      <w:sz w:val="28"/>
      <w:szCs w:val="28"/>
    </w:rPr>
  </w:style>
  <w:style w:type="character" w:customStyle="1" w:styleId="63">
    <w:name w:val="落款 Char"/>
    <w:link w:val="57"/>
    <w:qFormat/>
    <w:uiPriority w:val="99"/>
    <w:rPr>
      <w:rFonts w:ascii="仿宋_GB2312" w:hAnsi="宋体" w:eastAsia="仿宋_GB2312" w:cs="仿宋_GB2312"/>
      <w:kern w:val="2"/>
      <w:sz w:val="32"/>
      <w:szCs w:val="32"/>
      <w:lang w:val="en-US" w:eastAsia="zh-CN"/>
    </w:rPr>
  </w:style>
  <w:style w:type="character" w:customStyle="1" w:styleId="64">
    <w:name w:val="正文2 Char Char"/>
    <w:link w:val="55"/>
    <w:qFormat/>
    <w:uiPriority w:val="99"/>
    <w:rPr>
      <w:rFonts w:ascii="Times New Roman" w:hAnsi="Times New Roman" w:eastAsia="宋体" w:cs="Times New Roman"/>
      <w:kern w:val="2"/>
      <w:sz w:val="24"/>
      <w:szCs w:val="24"/>
      <w:lang w:val="en-US" w:eastAsia="zh-CN"/>
    </w:rPr>
  </w:style>
  <w:style w:type="character" w:customStyle="1" w:styleId="65">
    <w:name w:val="CEE正文 Char"/>
    <w:link w:val="49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66">
    <w:name w:val="表文字 Char"/>
    <w:link w:val="53"/>
    <w:qFormat/>
    <w:uiPriority w:val="99"/>
    <w:rPr>
      <w:rFonts w:ascii="Times New Roman" w:hAnsi="Times New Roman" w:eastAsia="汉鼎简书宋" w:cs="Times New Roman"/>
      <w:kern w:val="2"/>
      <w:sz w:val="21"/>
      <w:szCs w:val="21"/>
      <w:lang w:val="en-US" w:eastAsia="zh-CN"/>
    </w:rPr>
  </w:style>
  <w:style w:type="paragraph" w:customStyle="1" w:styleId="67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8">
    <w:name w:val="普通(网站)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9">
    <w:name w:val="List Paragraph"/>
    <w:basedOn w:val="1"/>
    <w:qFormat/>
    <w:uiPriority w:val="99"/>
    <w:pPr>
      <w:ind w:firstLine="420" w:firstLineChars="200"/>
    </w:pPr>
  </w:style>
  <w:style w:type="paragraph" w:customStyle="1" w:styleId="70">
    <w:name w:val="文字描述"/>
    <w:basedOn w:val="1"/>
    <w:qFormat/>
    <w:uiPriority w:val="99"/>
    <w:pPr>
      <w:adjustRightInd w:val="0"/>
      <w:snapToGrid w:val="0"/>
      <w:spacing w:line="360" w:lineRule="auto"/>
      <w:ind w:firstLine="200" w:firstLineChars="200"/>
    </w:pPr>
    <w:rPr>
      <w:spacing w:val="-2"/>
      <w:sz w:val="24"/>
      <w:szCs w:val="24"/>
    </w:rPr>
  </w:style>
  <w:style w:type="character" w:customStyle="1" w:styleId="71">
    <w:name w:val="批注主题 Char"/>
    <w:link w:val="20"/>
    <w:qFormat/>
    <w:uiPriority w:val="99"/>
    <w:rPr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3</Pages>
  <Words>248</Words>
  <Characters>1418</Characters>
  <Lines>11</Lines>
  <Paragraphs>3</Paragraphs>
  <TotalTime>0</TotalTime>
  <ScaleCrop>false</ScaleCrop>
  <LinksUpToDate>false</LinksUpToDate>
  <CharactersWithSpaces>1663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2020-02-19T10:05:00Z</dcterms:created>
  <dc:creator>Administrator</dc:creator>
  <cp:lastModifiedBy>环保管家</cp:lastModifiedBy>
  <cp:lastPrinted>2017-12-23T10:27:00Z</cp:lastPrinted>
  <dcterms:modified xsi:type="dcterms:W3CDTF">2021-05-31T05:05:49Z</dcterms:modified>
  <dc:title>湛江奥里油发电厂（2×600兆瓦）油改煤工程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AC95A089CBA34B5E8155CAB59ADE0AF8</vt:lpwstr>
  </property>
</Properties>
</file>